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rPr>
        <w:t>河庄街道</w:t>
      </w:r>
      <w:r>
        <w:rPr>
          <w:rFonts w:hint="eastAsia"/>
          <w:b/>
          <w:bCs/>
          <w:sz w:val="30"/>
          <w:szCs w:val="30"/>
          <w:lang w:val="en-US" w:eastAsia="zh-CN"/>
        </w:rPr>
        <w:t>2022-2023年</w:t>
      </w:r>
      <w:r>
        <w:rPr>
          <w:rFonts w:hint="eastAsia"/>
          <w:b/>
          <w:bCs/>
          <w:sz w:val="30"/>
          <w:szCs w:val="30"/>
          <w:lang w:eastAsia="zh-CN"/>
        </w:rPr>
        <w:t>除四害</w:t>
      </w:r>
      <w:r>
        <w:rPr>
          <w:rFonts w:hint="eastAsia"/>
          <w:b/>
          <w:bCs/>
          <w:sz w:val="30"/>
          <w:szCs w:val="30"/>
        </w:rPr>
        <w:t>消杀服务采购</w:t>
      </w:r>
      <w:r>
        <w:rPr>
          <w:rFonts w:hint="eastAsia"/>
          <w:b/>
          <w:bCs/>
          <w:sz w:val="30"/>
          <w:szCs w:val="30"/>
          <w:lang w:eastAsia="zh-CN"/>
        </w:rPr>
        <w:t>（分散服务市场竞价大厅）</w:t>
      </w:r>
    </w:p>
    <w:p>
      <w:pPr>
        <w:jc w:val="center"/>
        <w:rPr>
          <w:rFonts w:hint="eastAsia"/>
          <w:b/>
          <w:bCs/>
          <w:sz w:val="30"/>
          <w:szCs w:val="30"/>
          <w:lang w:eastAsia="zh-CN"/>
        </w:rPr>
      </w:pPr>
      <w:r>
        <w:rPr>
          <w:rFonts w:hint="eastAsia"/>
          <w:b/>
          <w:bCs/>
          <w:sz w:val="30"/>
          <w:szCs w:val="30"/>
        </w:rPr>
        <w:t>参数要求</w:t>
      </w:r>
    </w:p>
    <w:p>
      <w:pPr>
        <w:numPr>
          <w:ilvl w:val="0"/>
          <w:numId w:val="0"/>
        </w:numPr>
        <w:rPr>
          <w:rFonts w:hint="eastAsia"/>
          <w:lang w:val="en-US" w:eastAsia="zh-CN"/>
        </w:rPr>
      </w:pPr>
      <w:r>
        <w:rPr>
          <w:rFonts w:hint="eastAsia"/>
          <w:lang w:val="en-US" w:eastAsia="zh-CN"/>
        </w:rPr>
        <w:t>一、服务范围</w:t>
      </w:r>
    </w:p>
    <w:p>
      <w:pPr>
        <w:numPr>
          <w:ilvl w:val="0"/>
          <w:numId w:val="0"/>
        </w:numPr>
        <w:rPr>
          <w:rFonts w:hint="eastAsia"/>
          <w:lang w:val="en-US" w:eastAsia="zh-CN"/>
        </w:rPr>
      </w:pPr>
      <w:r>
        <w:rPr>
          <w:rFonts w:hint="eastAsia"/>
          <w:lang w:val="en-US" w:eastAsia="zh-CN"/>
        </w:rPr>
        <w:t>河庄街道建城区、新围老街区域公共环境，共约3平方千米。主要包括：街道办事处的公共外环境、人民广场及公厕、宏河嘉园、帝景园、景悦家苑、宝庄公寓、镇南路公寓、河庄农贸市场、社区卫生服务中心、文体中心、公共服务中心、钱民花苑、春意江南、新围农贸市场、</w:t>
      </w:r>
      <w:r>
        <w:rPr>
          <w:rFonts w:hint="eastAsia"/>
          <w:color w:val="FF0000"/>
          <w:lang w:val="en-US" w:eastAsia="zh-CN"/>
        </w:rPr>
        <w:t>临时白馆（新白馆启用后改为新白馆（原垃圾中转站及粮站用房区域））</w:t>
      </w:r>
      <w:r>
        <w:rPr>
          <w:rFonts w:hint="eastAsia"/>
          <w:lang w:val="en-US" w:eastAsia="zh-CN"/>
        </w:rPr>
        <w:t>、江东锦绣、琅琴湾。</w:t>
      </w:r>
    </w:p>
    <w:p>
      <w:pPr>
        <w:numPr>
          <w:ilvl w:val="0"/>
          <w:numId w:val="0"/>
        </w:numPr>
        <w:rPr>
          <w:rFonts w:hint="default"/>
          <w:b/>
          <w:bCs/>
          <w:shd w:val="clear" w:color="FFFFFF" w:fill="D9D9D9"/>
          <w:lang w:val="en-US" w:eastAsia="zh-CN"/>
        </w:rPr>
      </w:pPr>
      <w:r>
        <w:rPr>
          <w:rFonts w:hint="eastAsia"/>
          <w:b/>
          <w:bCs/>
          <w:shd w:val="clear" w:color="FFFFFF" w:fill="D9D9D9"/>
          <w:lang w:val="en-US" w:eastAsia="zh-CN"/>
        </w:rPr>
        <w:t>二、服务内容</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1、</w:t>
      </w:r>
      <w:r>
        <w:rPr>
          <w:rFonts w:hint="eastAsia"/>
          <w:b/>
          <w:bCs/>
          <w:shd w:val="clear" w:color="FFFFFF" w:fill="D9D9D9"/>
          <w:lang w:val="en-US" w:eastAsia="zh-CN"/>
        </w:rPr>
        <w:t>日常</w:t>
      </w:r>
      <w:r>
        <w:rPr>
          <w:rFonts w:hint="default"/>
          <w:b/>
          <w:bCs/>
          <w:shd w:val="clear" w:color="FFFFFF" w:fill="D9D9D9"/>
          <w:lang w:val="en-US" w:eastAsia="zh-CN"/>
        </w:rPr>
        <w:t>公共环境除四害</w:t>
      </w:r>
      <w:r>
        <w:rPr>
          <w:rFonts w:hint="eastAsia"/>
          <w:b/>
          <w:bCs/>
          <w:shd w:val="clear" w:color="FFFFFF" w:fill="D9D9D9"/>
          <w:lang w:val="en-US" w:eastAsia="zh-CN"/>
        </w:rPr>
        <w:t>（本服务最高限价14.1万元）。</w:t>
      </w:r>
      <w:r>
        <w:rPr>
          <w:rFonts w:hint="default"/>
          <w:b/>
          <w:bCs/>
          <w:shd w:val="clear" w:color="FFFFFF" w:fill="D9D9D9"/>
          <w:lang w:val="en-US" w:eastAsia="zh-CN"/>
        </w:rPr>
        <w:t>所需药物及投放、喷洒及环境处理</w:t>
      </w:r>
      <w:r>
        <w:rPr>
          <w:rFonts w:hint="eastAsia"/>
          <w:b/>
          <w:bCs/>
          <w:shd w:val="clear" w:color="FFFFFF" w:fill="D9D9D9"/>
          <w:lang w:val="en-US" w:eastAsia="zh-CN"/>
        </w:rPr>
        <w:t>，</w:t>
      </w:r>
      <w:r>
        <w:rPr>
          <w:rFonts w:hint="default"/>
          <w:b/>
          <w:bCs/>
          <w:shd w:val="clear" w:color="FFFFFF" w:fill="D9D9D9"/>
          <w:lang w:val="en-US" w:eastAsia="zh-CN"/>
        </w:rPr>
        <w:t>合同价的10%用于购买除四害技防设施（毒鼠屋、捕蝇笼）的采购、安装与维护。</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2、</w:t>
      </w:r>
      <w:r>
        <w:rPr>
          <w:rFonts w:hint="eastAsia"/>
          <w:b/>
          <w:bCs/>
          <w:shd w:val="clear" w:color="FFFFFF" w:fill="D9D9D9"/>
          <w:lang w:val="en-US" w:eastAsia="zh-CN"/>
        </w:rPr>
        <w:t>突发应急事件环境消毒（本服务最高限价2.5万元）。标准与要求：作业面积500（含）平方米以下的最高限价为1000元/次，预估10场（该场次只作为报价使用，结算按单价乘以实施场地计算）；作业面积1000（含）平方米以下的最高限价为1500元/次，预估4场（该场次只作为报价使用，结算按单价乘以实施场地计算）；作业面积2000（含）平方米以下的最高限价为2000元/次，预估3场（该场次只作为报价使用，结算按单价乘以实施场地计算）；作业面积2000（不含）平方米以上的最高限价为3000元/次，预估1场（该场次只作为报价使用，结算按单价乘以实施场地计算）。</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3、市、区、街道爱卫办组织的其它除四害活动（包括要求承担公益性服务）</w:t>
      </w:r>
      <w:r>
        <w:rPr>
          <w:rFonts w:hint="eastAsia"/>
          <w:b/>
          <w:bCs/>
          <w:shd w:val="clear" w:color="FFFFFF" w:fill="D9D9D9"/>
          <w:lang w:val="en-US" w:eastAsia="zh-CN"/>
        </w:rPr>
        <w:t>。</w:t>
      </w:r>
      <w:r>
        <w:rPr>
          <w:rFonts w:hint="default"/>
          <w:b/>
          <w:bCs/>
          <w:shd w:val="clear" w:color="FFFFFF" w:fill="D9D9D9"/>
          <w:lang w:val="en-US" w:eastAsia="zh-CN"/>
        </w:rPr>
        <w:t>协助街道开展除四害宣传工作、普及科学除害防病知识，推进单位除四害市场化运作。</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4、向所服务社区低保户等困难家庭户无偿提供家庭灭蟑、灭鼠等除四害药品及技术指导，向所服务社区居民家庭无偿提供除四害技术指导。</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5、做好四害密度检测工作。</w:t>
      </w:r>
    </w:p>
    <w:p>
      <w:pPr>
        <w:numPr>
          <w:ilvl w:val="0"/>
          <w:numId w:val="0"/>
        </w:numPr>
        <w:ind w:firstLine="422" w:firstLineChars="200"/>
        <w:rPr>
          <w:rFonts w:hint="default"/>
          <w:b/>
          <w:bCs/>
          <w:shd w:val="clear" w:color="FFFFFF" w:fill="D9D9D9"/>
          <w:lang w:val="en-US" w:eastAsia="zh-CN"/>
        </w:rPr>
      </w:pPr>
      <w:r>
        <w:rPr>
          <w:rFonts w:hint="default"/>
          <w:b/>
          <w:bCs/>
          <w:shd w:val="clear" w:color="FFFFFF" w:fill="D9D9D9"/>
          <w:lang w:val="en-US" w:eastAsia="zh-CN"/>
        </w:rPr>
        <w:t>6、做好杭州市病媒生物控制水平C级以上等级省级评估考核工作和国家卫生城市复评病媒生物预防控制相关工作。</w:t>
      </w:r>
    </w:p>
    <w:p>
      <w:pPr>
        <w:numPr>
          <w:ilvl w:val="0"/>
          <w:numId w:val="0"/>
        </w:numPr>
        <w:ind w:firstLine="422" w:firstLineChars="200"/>
        <w:rPr>
          <w:rFonts w:hint="default"/>
          <w:b/>
          <w:bCs/>
          <w:color w:val="FF0000"/>
          <w:shd w:val="clear" w:color="FFFFFF" w:fill="D9D9D9"/>
          <w:lang w:val="en-US" w:eastAsia="zh-CN"/>
        </w:rPr>
      </w:pPr>
      <w:r>
        <w:rPr>
          <w:rFonts w:hint="eastAsia"/>
          <w:b/>
          <w:bCs/>
          <w:color w:val="FF0000"/>
          <w:shd w:val="clear" w:color="FFFFFF" w:fill="D9D9D9"/>
          <w:lang w:val="en-US" w:eastAsia="zh-CN"/>
        </w:rPr>
        <w:t>7、协助开展好街道重点场所、领域的除四害工作。</w:t>
      </w:r>
    </w:p>
    <w:p>
      <w:pPr>
        <w:numPr>
          <w:ilvl w:val="0"/>
          <w:numId w:val="0"/>
        </w:numPr>
        <w:rPr>
          <w:rFonts w:hint="eastAsia"/>
          <w:lang w:val="en-US" w:eastAsia="zh-CN"/>
        </w:rPr>
      </w:pPr>
      <w:r>
        <w:rPr>
          <w:rFonts w:hint="eastAsia"/>
          <w:lang w:val="en-US" w:eastAsia="zh-CN"/>
        </w:rPr>
        <w:t>三、服务期：2年（合同签订之日起2年）。合同履行完毕后，在未找到接替服务公司前，中标人应延续1-2个月的服务， 费用按原合同签订的费用标准支付。</w:t>
      </w:r>
    </w:p>
    <w:p>
      <w:pPr>
        <w:numPr>
          <w:ilvl w:val="0"/>
          <w:numId w:val="0"/>
        </w:numPr>
        <w:rPr>
          <w:rFonts w:hint="default"/>
          <w:lang w:val="en-US" w:eastAsia="zh-CN"/>
        </w:rPr>
      </w:pPr>
      <w:r>
        <w:rPr>
          <w:rFonts w:hint="eastAsia"/>
          <w:lang w:val="en-US" w:eastAsia="zh-CN"/>
        </w:rPr>
        <w:t>四、消杀服务周期：</w:t>
      </w:r>
      <w:r>
        <w:rPr>
          <w:rFonts w:hint="eastAsia"/>
          <w:color w:val="FF0000"/>
          <w:lang w:val="en-US" w:eastAsia="zh-CN"/>
        </w:rPr>
        <w:t>5月至10月每周一次，其它月份每月一次；突发情况以实际需求为准。</w:t>
      </w:r>
    </w:p>
    <w:p>
      <w:pPr>
        <w:numPr>
          <w:ilvl w:val="0"/>
          <w:numId w:val="0"/>
        </w:numPr>
        <w:rPr>
          <w:rFonts w:hint="eastAsia"/>
          <w:lang w:val="en-US" w:eastAsia="zh-CN"/>
        </w:rPr>
      </w:pPr>
      <w:r>
        <w:rPr>
          <w:rFonts w:hint="eastAsia"/>
          <w:lang w:val="en-US" w:eastAsia="zh-CN"/>
        </w:rPr>
        <w:t>五、履约保证金要求：合同签订后3日内需向甲方缴纳</w:t>
      </w:r>
      <w:r>
        <w:rPr>
          <w:rFonts w:hint="eastAsia"/>
          <w:u w:val="single"/>
          <w:lang w:val="en-US" w:eastAsia="zh-CN"/>
        </w:rPr>
        <w:t>合同价的2.5%作为本项目的</w:t>
      </w:r>
      <w:r>
        <w:rPr>
          <w:rFonts w:hint="eastAsia"/>
          <w:lang w:val="en-US" w:eastAsia="zh-CN"/>
        </w:rPr>
        <w:t>履约保证金（可用支票、汇票或银行保函的方式），工程竣工验收合格后无息退还。账户名称：杭州市钱塘区人民政府河庄街道办事处结算专户；开户银行：萧山农商银行河庄支行；账号：201000011059303</w:t>
      </w:r>
    </w:p>
    <w:p>
      <w:pPr>
        <w:numPr>
          <w:ilvl w:val="0"/>
          <w:numId w:val="0"/>
        </w:numPr>
      </w:pPr>
      <w:r>
        <w:rPr>
          <w:rFonts w:hint="eastAsia"/>
          <w:lang w:eastAsia="zh-CN"/>
        </w:rPr>
        <w:t>六、</w:t>
      </w:r>
      <w:r>
        <w:rPr>
          <w:rFonts w:hint="eastAsia"/>
        </w:rPr>
        <w:t>合同签订要求：系统确认成交后3个工作日内需与甲方签订本项目合同。否则，视为放弃，甲方有权单方面无偿取消合同。</w:t>
      </w:r>
    </w:p>
    <w:p>
      <w:pPr>
        <w:numPr>
          <w:ilvl w:val="0"/>
          <w:numId w:val="0"/>
        </w:numPr>
      </w:pPr>
      <w:r>
        <w:rPr>
          <w:rFonts w:hint="eastAsia"/>
          <w:lang w:eastAsia="zh-CN"/>
        </w:rPr>
        <w:t>七、</w:t>
      </w:r>
      <w:r>
        <w:rPr>
          <w:rFonts w:hint="eastAsia"/>
        </w:rPr>
        <w:t>违约责任：若中标单位无法在甲方规定时间内提交成果或不响应甲方要求，甲方有权没收履约保证金</w:t>
      </w:r>
      <w:r>
        <w:rPr>
          <w:rFonts w:hint="eastAsia"/>
          <w:lang w:eastAsia="zh-CN"/>
        </w:rPr>
        <w:t>（如有）</w:t>
      </w:r>
      <w:r>
        <w:rPr>
          <w:rFonts w:hint="eastAsia"/>
        </w:rPr>
        <w:t>，并上报上级主管部门进行信用处罚。</w:t>
      </w:r>
    </w:p>
    <w:p>
      <w:pPr>
        <w:numPr>
          <w:ilvl w:val="0"/>
          <w:numId w:val="0"/>
        </w:numPr>
        <w:rPr>
          <w:rFonts w:hint="eastAsia"/>
        </w:rPr>
      </w:pPr>
      <w:r>
        <w:rPr>
          <w:rFonts w:hint="eastAsia"/>
          <w:lang w:eastAsia="zh-CN"/>
        </w:rPr>
        <w:t>八、</w:t>
      </w:r>
      <w:r>
        <w:rPr>
          <w:rFonts w:hint="eastAsia"/>
        </w:rPr>
        <w:t>支付方式：</w:t>
      </w:r>
    </w:p>
    <w:p>
      <w:pPr>
        <w:numPr>
          <w:ilvl w:val="0"/>
          <w:numId w:val="0"/>
        </w:numPr>
        <w:ind w:firstLine="420" w:firstLineChars="200"/>
        <w:rPr>
          <w:rFonts w:hint="eastAsia"/>
          <w:lang w:val="en-US" w:eastAsia="zh-CN"/>
        </w:rPr>
      </w:pPr>
      <w:r>
        <w:rPr>
          <w:rFonts w:hint="eastAsia"/>
          <w:lang w:val="en-US" w:eastAsia="zh-CN"/>
        </w:rPr>
        <w:t>1、日常</w:t>
      </w:r>
      <w:r>
        <w:rPr>
          <w:rFonts w:hint="default"/>
          <w:lang w:val="en-US" w:eastAsia="zh-CN"/>
        </w:rPr>
        <w:t>公共环境除四害</w:t>
      </w:r>
      <w:r>
        <w:rPr>
          <w:rFonts w:hint="eastAsia"/>
          <w:lang w:val="en-US" w:eastAsia="zh-CN"/>
        </w:rPr>
        <w:t>：</w:t>
      </w:r>
    </w:p>
    <w:p>
      <w:pPr>
        <w:numPr>
          <w:ilvl w:val="0"/>
          <w:numId w:val="0"/>
        </w:numPr>
        <w:ind w:firstLine="420" w:firstLineChars="200"/>
        <w:rPr>
          <w:rFonts w:hint="eastAsia"/>
          <w:color w:val="FF0000"/>
          <w:lang w:val="en-US" w:eastAsia="zh-CN"/>
        </w:rPr>
      </w:pPr>
      <w:r>
        <w:rPr>
          <w:rFonts w:hint="eastAsia"/>
          <w:lang w:val="en-US" w:eastAsia="zh-CN"/>
        </w:rPr>
        <w:t>分四期（每期金额为合同额的25%）支付，第一期</w:t>
      </w:r>
      <w:r>
        <w:rPr>
          <w:rFonts w:hint="eastAsia"/>
          <w:color w:val="FF0000"/>
          <w:lang w:val="en-US" w:eastAsia="zh-CN"/>
        </w:rPr>
        <w:t>为合同签订后的三个月时间内支付，第二期为签订合同满一年后的一个月内，并达到质量要求的；第三期为签订合同满18个月后的一个月内，并达到质量要求的；第四期为合同到期后的一个月内支付。</w:t>
      </w:r>
    </w:p>
    <w:p>
      <w:pPr>
        <w:numPr>
          <w:ilvl w:val="0"/>
          <w:numId w:val="1"/>
        </w:numPr>
        <w:ind w:firstLine="420" w:firstLineChars="200"/>
        <w:rPr>
          <w:rFonts w:hint="eastAsia"/>
          <w:lang w:val="en-US" w:eastAsia="zh-CN"/>
        </w:rPr>
      </w:pPr>
      <w:r>
        <w:rPr>
          <w:rFonts w:hint="eastAsia"/>
          <w:lang w:val="en-US" w:eastAsia="zh-CN"/>
        </w:rPr>
        <w:t>突发应急事件环境消毒：</w:t>
      </w:r>
    </w:p>
    <w:p>
      <w:pPr>
        <w:numPr>
          <w:ilvl w:val="-1"/>
          <w:numId w:val="0"/>
        </w:numPr>
        <w:ind w:firstLine="420" w:firstLineChars="0"/>
        <w:rPr>
          <w:rFonts w:hint="eastAsia"/>
          <w:lang w:val="en-US" w:eastAsia="zh-CN"/>
        </w:rPr>
      </w:pPr>
      <w:r>
        <w:rPr>
          <w:rFonts w:hint="eastAsia"/>
          <w:lang w:val="en-US" w:eastAsia="zh-CN"/>
        </w:rPr>
        <w:t>每半年按实结算一次。</w:t>
      </w:r>
    </w:p>
    <w:p>
      <w:pPr>
        <w:numPr>
          <w:ilvl w:val="0"/>
          <w:numId w:val="2"/>
        </w:numPr>
        <w:ind w:firstLine="0" w:firstLineChars="0"/>
        <w:rPr>
          <w:rFonts w:hint="eastAsia"/>
          <w:b/>
          <w:bCs/>
          <w:shd w:val="clear" w:color="FFFFFF" w:fill="D9D9D9"/>
          <w:lang w:eastAsia="zh-CN"/>
        </w:rPr>
      </w:pPr>
      <w:r>
        <w:rPr>
          <w:rFonts w:hint="eastAsia"/>
          <w:b/>
          <w:bCs/>
          <w:shd w:val="clear" w:color="FFFFFF" w:fill="D9D9D9"/>
          <w:lang w:eastAsia="zh-CN"/>
        </w:rPr>
        <w:t>报价要求</w:t>
      </w:r>
    </w:p>
    <w:p>
      <w:pPr>
        <w:numPr>
          <w:ilvl w:val="-1"/>
          <w:numId w:val="0"/>
        </w:numPr>
        <w:ind w:firstLine="0" w:firstLineChars="0"/>
        <w:rPr>
          <w:rFonts w:hint="default"/>
          <w:b/>
          <w:bCs/>
          <w:shd w:val="clear" w:color="FFFFFF" w:fill="D9D9D9"/>
          <w:lang w:val="en-US" w:eastAsia="zh-CN"/>
        </w:rPr>
      </w:pPr>
      <w:r>
        <w:rPr>
          <w:rFonts w:hint="eastAsia"/>
          <w:b/>
          <w:bCs/>
          <w:shd w:val="clear" w:color="FFFFFF" w:fill="D9D9D9"/>
          <w:lang w:val="en-US" w:eastAsia="zh-CN"/>
        </w:rPr>
        <w:t xml:space="preserve">    本项目采用最低价中标。报价分两部分报价：日常</w:t>
      </w:r>
      <w:r>
        <w:rPr>
          <w:rFonts w:hint="default"/>
          <w:b/>
          <w:bCs/>
          <w:shd w:val="clear" w:color="FFFFFF" w:fill="D9D9D9"/>
          <w:lang w:val="en-US" w:eastAsia="zh-CN"/>
        </w:rPr>
        <w:t>公共环境除四害</w:t>
      </w:r>
      <w:r>
        <w:rPr>
          <w:rFonts w:hint="eastAsia"/>
          <w:b/>
          <w:bCs/>
          <w:shd w:val="clear" w:color="FFFFFF" w:fill="D9D9D9"/>
          <w:lang w:val="en-US" w:eastAsia="zh-CN"/>
        </w:rPr>
        <w:t>服务（最高限价14.1万元）；突发应急事件环境消毒服务（最高限价2.5万元）。两部分报价之和最低的投标单位为本项目的中标单位。日常</w:t>
      </w:r>
      <w:r>
        <w:rPr>
          <w:rFonts w:hint="default"/>
          <w:b/>
          <w:bCs/>
          <w:shd w:val="clear" w:color="FFFFFF" w:fill="D9D9D9"/>
          <w:lang w:val="en-US" w:eastAsia="zh-CN"/>
        </w:rPr>
        <w:t>公共环境除四害</w:t>
      </w:r>
      <w:r>
        <w:rPr>
          <w:rFonts w:hint="eastAsia"/>
          <w:b/>
          <w:bCs/>
          <w:shd w:val="clear" w:color="FFFFFF" w:fill="D9D9D9"/>
          <w:lang w:val="en-US" w:eastAsia="zh-CN"/>
        </w:rPr>
        <w:t>服务的结算费用不得超过该服务的中标报价，突发应急事件环境消毒服务的结算费用不得超过本项目总预算（16.6万元）与日常</w:t>
      </w:r>
      <w:r>
        <w:rPr>
          <w:rFonts w:hint="default"/>
          <w:b/>
          <w:bCs/>
          <w:shd w:val="clear" w:color="FFFFFF" w:fill="D9D9D9"/>
          <w:lang w:val="en-US" w:eastAsia="zh-CN"/>
        </w:rPr>
        <w:t>公共环境除四害</w:t>
      </w:r>
      <w:r>
        <w:rPr>
          <w:rFonts w:hint="eastAsia"/>
          <w:b/>
          <w:bCs/>
          <w:shd w:val="clear" w:color="FFFFFF" w:fill="D9D9D9"/>
          <w:lang w:val="en-US" w:eastAsia="zh-CN"/>
        </w:rPr>
        <w:t>服务中标报价之差，超出部分费用不予以结算（投标单位需自行统计好服务费并及时结算，及时停止接收甲方委托的突发应急事件环境消毒业务）。</w:t>
      </w:r>
      <w:r>
        <w:rPr>
          <w:rFonts w:hint="eastAsia"/>
          <w:b/>
          <w:bCs/>
          <w:highlight w:val="yellow"/>
          <w:shd w:val="clear" w:color="FFFFFF" w:fill="D9D9D9"/>
          <w:lang w:val="en-US" w:eastAsia="zh-CN"/>
        </w:rPr>
        <w:t>本项目必须上传报价明细表（系统中的总报价需与报价明细表中的一致，否则报价无效；最终结算依据按报价明细表中的投标报价</w:t>
      </w:r>
      <w:bookmarkStart w:id="0" w:name="_GoBack"/>
      <w:bookmarkEnd w:id="0"/>
      <w:r>
        <w:rPr>
          <w:rFonts w:hint="eastAsia"/>
          <w:b/>
          <w:bCs/>
          <w:highlight w:val="yellow"/>
          <w:shd w:val="clear" w:color="FFFFFF" w:fill="D9D9D9"/>
          <w:lang w:val="en-US" w:eastAsia="zh-CN"/>
        </w:rPr>
        <w:t>），未上传的，作无效标处理，格式如下</w:t>
      </w:r>
      <w:r>
        <w:rPr>
          <w:rFonts w:hint="eastAsia"/>
          <w:b/>
          <w:bCs/>
          <w:shd w:val="clear" w:color="FFFFFF" w:fill="D9D9D9"/>
          <w:lang w:val="en-US" w:eastAsia="zh-CN"/>
        </w:rPr>
        <w:t>：</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jc w:val="center"/>
        <w:rPr>
          <w:rFonts w:hint="eastAsia"/>
          <w:b/>
          <w:bCs/>
          <w:sz w:val="32"/>
          <w:szCs w:val="32"/>
          <w:lang w:val="en-US" w:eastAsia="zh-CN"/>
        </w:rPr>
      </w:pPr>
      <w:r>
        <w:rPr>
          <w:rFonts w:hint="eastAsia"/>
          <w:b/>
          <w:bCs/>
          <w:sz w:val="32"/>
          <w:szCs w:val="32"/>
          <w:lang w:val="en-US" w:eastAsia="zh-CN"/>
        </w:rPr>
        <w:t>报价明细表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8"/>
        <w:gridCol w:w="1598"/>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序号</w:t>
            </w:r>
          </w:p>
        </w:tc>
        <w:tc>
          <w:tcPr>
            <w:tcW w:w="1398" w:type="dxa"/>
            <w:vAlign w:val="center"/>
          </w:tcPr>
          <w:p>
            <w:pPr>
              <w:numPr>
                <w:ilvl w:val="0"/>
                <w:numId w:val="0"/>
              </w:numPr>
              <w:jc w:val="center"/>
              <w:rPr>
                <w:rFonts w:hint="default"/>
                <w:vertAlign w:val="baseline"/>
                <w:lang w:val="en-US" w:eastAsia="zh-CN"/>
              </w:rPr>
            </w:pPr>
            <w:r>
              <w:rPr>
                <w:rFonts w:hint="eastAsia"/>
                <w:vertAlign w:val="baseline"/>
                <w:lang w:val="en-US" w:eastAsia="zh-CN"/>
              </w:rPr>
              <w:t>服务名称</w:t>
            </w:r>
          </w:p>
        </w:tc>
        <w:tc>
          <w:tcPr>
            <w:tcW w:w="1598" w:type="dxa"/>
            <w:vAlign w:val="center"/>
          </w:tcPr>
          <w:p>
            <w:pPr>
              <w:numPr>
                <w:ilvl w:val="0"/>
                <w:numId w:val="0"/>
              </w:numPr>
              <w:jc w:val="center"/>
              <w:rPr>
                <w:rFonts w:hint="default"/>
                <w:vertAlign w:val="baseline"/>
                <w:lang w:val="en-US" w:eastAsia="zh-CN"/>
              </w:rPr>
            </w:pPr>
            <w:r>
              <w:rPr>
                <w:rFonts w:hint="eastAsia"/>
                <w:vertAlign w:val="baseline"/>
                <w:lang w:val="en-US" w:eastAsia="zh-CN"/>
              </w:rPr>
              <w:t>其他要求</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数量（</w:t>
            </w:r>
            <w:r>
              <w:rPr>
                <w:rFonts w:hint="eastAsia"/>
                <w:b/>
                <w:bCs/>
                <w:color w:val="auto"/>
                <w:shd w:val="clear" w:color="FFFFFF" w:fill="D9D9D9"/>
                <w:vertAlign w:val="baseline"/>
                <w:lang w:val="en-US" w:eastAsia="zh-CN"/>
              </w:rPr>
              <w:t>仅用于报价，不作为合同签订数量</w:t>
            </w:r>
            <w:r>
              <w:rPr>
                <w:rFonts w:hint="eastAsia"/>
                <w:vertAlign w:val="baseline"/>
                <w:lang w:val="en-US" w:eastAsia="zh-CN"/>
              </w:rPr>
              <w:t>）</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最高限价</w:t>
            </w:r>
          </w:p>
        </w:tc>
        <w:tc>
          <w:tcPr>
            <w:tcW w:w="1217"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单价</w:t>
            </w:r>
          </w:p>
        </w:tc>
        <w:tc>
          <w:tcPr>
            <w:tcW w:w="1217"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1</w:t>
            </w:r>
          </w:p>
        </w:tc>
        <w:tc>
          <w:tcPr>
            <w:tcW w:w="1398" w:type="dxa"/>
            <w:vAlign w:val="center"/>
          </w:tcPr>
          <w:p>
            <w:pPr>
              <w:numPr>
                <w:ilvl w:val="0"/>
                <w:numId w:val="0"/>
              </w:numPr>
              <w:jc w:val="center"/>
              <w:rPr>
                <w:rFonts w:hint="default"/>
                <w:vertAlign w:val="baseline"/>
                <w:lang w:val="en-US" w:eastAsia="zh-CN"/>
              </w:rPr>
            </w:pPr>
            <w:r>
              <w:rPr>
                <w:rFonts w:hint="eastAsia"/>
                <w:vertAlign w:val="baseline"/>
                <w:lang w:val="en-US" w:eastAsia="zh-CN"/>
              </w:rPr>
              <w:t>日常</w:t>
            </w:r>
            <w:r>
              <w:rPr>
                <w:rFonts w:hint="default"/>
                <w:vertAlign w:val="baseline"/>
                <w:lang w:val="en-US" w:eastAsia="zh-CN"/>
              </w:rPr>
              <w:t>公共环境除四害</w:t>
            </w:r>
          </w:p>
        </w:tc>
        <w:tc>
          <w:tcPr>
            <w:tcW w:w="1598" w:type="dxa"/>
            <w:vAlign w:val="center"/>
          </w:tcPr>
          <w:p>
            <w:pPr>
              <w:numPr>
                <w:ilvl w:val="0"/>
                <w:numId w:val="0"/>
              </w:numPr>
              <w:jc w:val="center"/>
              <w:rPr>
                <w:rFonts w:hint="default"/>
                <w:vertAlign w:val="baseline"/>
                <w:lang w:val="en-US" w:eastAsia="zh-CN"/>
              </w:rPr>
            </w:pPr>
            <w:r>
              <w:rPr>
                <w:rFonts w:hint="eastAsia"/>
                <w:vertAlign w:val="baseline"/>
                <w:lang w:val="en-US" w:eastAsia="zh-CN"/>
              </w:rPr>
              <w:t>详见参数要求</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2年</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70500元/年</w:t>
            </w:r>
          </w:p>
        </w:tc>
        <w:tc>
          <w:tcPr>
            <w:tcW w:w="1217" w:type="dxa"/>
            <w:vAlign w:val="center"/>
          </w:tcPr>
          <w:p>
            <w:pPr>
              <w:numPr>
                <w:ilvl w:val="0"/>
                <w:numId w:val="0"/>
              </w:numPr>
              <w:jc w:val="center"/>
              <w:rPr>
                <w:rFonts w:hint="default"/>
                <w:vertAlign w:val="baseline"/>
                <w:lang w:val="en-US" w:eastAsia="zh-CN"/>
              </w:rPr>
            </w:pPr>
          </w:p>
        </w:tc>
        <w:tc>
          <w:tcPr>
            <w:tcW w:w="121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2</w:t>
            </w:r>
          </w:p>
        </w:tc>
        <w:tc>
          <w:tcPr>
            <w:tcW w:w="1398" w:type="dxa"/>
            <w:vAlign w:val="center"/>
          </w:tcPr>
          <w:p>
            <w:pPr>
              <w:numPr>
                <w:ilvl w:val="0"/>
                <w:numId w:val="0"/>
              </w:numPr>
              <w:jc w:val="center"/>
              <w:rPr>
                <w:rFonts w:hint="default"/>
                <w:vertAlign w:val="baseline"/>
                <w:lang w:val="en-US" w:eastAsia="zh-CN"/>
              </w:rPr>
            </w:pPr>
            <w:r>
              <w:rPr>
                <w:rFonts w:hint="default"/>
                <w:vertAlign w:val="baseline"/>
                <w:lang w:val="en-US" w:eastAsia="zh-CN"/>
              </w:rPr>
              <w:t>突发应急事件环境消毒</w:t>
            </w:r>
          </w:p>
        </w:tc>
        <w:tc>
          <w:tcPr>
            <w:tcW w:w="1598" w:type="dxa"/>
            <w:vAlign w:val="center"/>
          </w:tcPr>
          <w:p>
            <w:pPr>
              <w:numPr>
                <w:ilvl w:val="0"/>
                <w:numId w:val="0"/>
              </w:numPr>
              <w:jc w:val="center"/>
              <w:rPr>
                <w:rFonts w:hint="default"/>
                <w:vertAlign w:val="baseline"/>
                <w:lang w:val="en-US" w:eastAsia="zh-CN"/>
              </w:rPr>
            </w:pPr>
            <w:r>
              <w:rPr>
                <w:rFonts w:hint="eastAsia"/>
                <w:vertAlign w:val="baseline"/>
                <w:lang w:val="en-US" w:eastAsia="zh-CN"/>
              </w:rPr>
              <w:t>500㎡（含）以下</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10场</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1000元/场</w:t>
            </w:r>
          </w:p>
        </w:tc>
        <w:tc>
          <w:tcPr>
            <w:tcW w:w="1217" w:type="dxa"/>
            <w:vAlign w:val="center"/>
          </w:tcPr>
          <w:p>
            <w:pPr>
              <w:numPr>
                <w:ilvl w:val="0"/>
                <w:numId w:val="0"/>
              </w:numPr>
              <w:jc w:val="center"/>
              <w:rPr>
                <w:rFonts w:hint="default"/>
                <w:vertAlign w:val="baseline"/>
                <w:lang w:val="en-US" w:eastAsia="zh-CN"/>
              </w:rPr>
            </w:pPr>
          </w:p>
        </w:tc>
        <w:tc>
          <w:tcPr>
            <w:tcW w:w="121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398" w:type="dxa"/>
            <w:vAlign w:val="center"/>
          </w:tcPr>
          <w:p>
            <w:pPr>
              <w:numPr>
                <w:ilvl w:val="0"/>
                <w:numId w:val="0"/>
              </w:numPr>
              <w:ind w:left="0" w:leftChars="0" w:firstLine="0" w:firstLineChars="0"/>
              <w:jc w:val="center"/>
              <w:rPr>
                <w:rFonts w:hint="default"/>
                <w:vertAlign w:val="baseline"/>
                <w:lang w:val="en-US" w:eastAsia="zh-CN"/>
              </w:rPr>
            </w:pPr>
            <w:r>
              <w:rPr>
                <w:rFonts w:hint="default"/>
                <w:vertAlign w:val="baseline"/>
                <w:lang w:val="en-US" w:eastAsia="zh-CN"/>
              </w:rPr>
              <w:t>突发应急事件环境消毒</w:t>
            </w:r>
          </w:p>
        </w:tc>
        <w:tc>
          <w:tcPr>
            <w:tcW w:w="1598"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1000㎡（含）以下</w:t>
            </w:r>
          </w:p>
        </w:tc>
        <w:tc>
          <w:tcPr>
            <w:tcW w:w="1217"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4场</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1500元/场</w:t>
            </w:r>
          </w:p>
        </w:tc>
        <w:tc>
          <w:tcPr>
            <w:tcW w:w="1217" w:type="dxa"/>
            <w:vAlign w:val="center"/>
          </w:tcPr>
          <w:p>
            <w:pPr>
              <w:numPr>
                <w:ilvl w:val="0"/>
                <w:numId w:val="0"/>
              </w:numPr>
              <w:jc w:val="center"/>
              <w:rPr>
                <w:rFonts w:hint="default"/>
                <w:vertAlign w:val="baseline"/>
                <w:lang w:val="en-US" w:eastAsia="zh-CN"/>
              </w:rPr>
            </w:pPr>
          </w:p>
        </w:tc>
        <w:tc>
          <w:tcPr>
            <w:tcW w:w="121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1398" w:type="dxa"/>
            <w:vAlign w:val="center"/>
          </w:tcPr>
          <w:p>
            <w:pPr>
              <w:numPr>
                <w:ilvl w:val="0"/>
                <w:numId w:val="0"/>
              </w:numPr>
              <w:ind w:left="0" w:leftChars="0" w:firstLine="0" w:firstLineChars="0"/>
              <w:jc w:val="center"/>
              <w:rPr>
                <w:rFonts w:hint="default"/>
                <w:vertAlign w:val="baseline"/>
                <w:lang w:val="en-US" w:eastAsia="zh-CN"/>
              </w:rPr>
            </w:pPr>
            <w:r>
              <w:rPr>
                <w:rFonts w:hint="default"/>
                <w:vertAlign w:val="baseline"/>
                <w:lang w:val="en-US" w:eastAsia="zh-CN"/>
              </w:rPr>
              <w:t>突发应急事件环境消毒</w:t>
            </w:r>
          </w:p>
        </w:tc>
        <w:tc>
          <w:tcPr>
            <w:tcW w:w="1598"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2000㎡（含）以下</w:t>
            </w:r>
          </w:p>
        </w:tc>
        <w:tc>
          <w:tcPr>
            <w:tcW w:w="1217"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3场</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2000元/场</w:t>
            </w:r>
          </w:p>
        </w:tc>
        <w:tc>
          <w:tcPr>
            <w:tcW w:w="1217" w:type="dxa"/>
            <w:vAlign w:val="center"/>
          </w:tcPr>
          <w:p>
            <w:pPr>
              <w:numPr>
                <w:ilvl w:val="0"/>
                <w:numId w:val="0"/>
              </w:numPr>
              <w:jc w:val="center"/>
              <w:rPr>
                <w:rFonts w:hint="default"/>
                <w:vertAlign w:val="baseline"/>
                <w:lang w:val="en-US" w:eastAsia="zh-CN"/>
              </w:rPr>
            </w:pPr>
          </w:p>
        </w:tc>
        <w:tc>
          <w:tcPr>
            <w:tcW w:w="121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398" w:type="dxa"/>
            <w:vAlign w:val="center"/>
          </w:tcPr>
          <w:p>
            <w:pPr>
              <w:numPr>
                <w:ilvl w:val="0"/>
                <w:numId w:val="0"/>
              </w:numPr>
              <w:ind w:left="0" w:leftChars="0" w:firstLine="0" w:firstLineChars="0"/>
              <w:jc w:val="center"/>
              <w:rPr>
                <w:rFonts w:hint="default"/>
                <w:vertAlign w:val="baseline"/>
                <w:lang w:val="en-US" w:eastAsia="zh-CN"/>
              </w:rPr>
            </w:pPr>
            <w:r>
              <w:rPr>
                <w:rFonts w:hint="default"/>
                <w:vertAlign w:val="baseline"/>
                <w:lang w:val="en-US" w:eastAsia="zh-CN"/>
              </w:rPr>
              <w:t>突发应急事件环境消毒</w:t>
            </w:r>
          </w:p>
        </w:tc>
        <w:tc>
          <w:tcPr>
            <w:tcW w:w="1598"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2000㎡（不含）以上</w:t>
            </w:r>
          </w:p>
        </w:tc>
        <w:tc>
          <w:tcPr>
            <w:tcW w:w="1217" w:type="dxa"/>
            <w:vAlign w:val="center"/>
          </w:tcPr>
          <w:p>
            <w:pPr>
              <w:numPr>
                <w:ilvl w:val="0"/>
                <w:numId w:val="0"/>
              </w:numPr>
              <w:ind w:left="0" w:leftChars="0" w:firstLine="0" w:firstLineChars="0"/>
              <w:jc w:val="center"/>
              <w:rPr>
                <w:rFonts w:hint="default"/>
                <w:vertAlign w:val="baseline"/>
                <w:lang w:val="en-US" w:eastAsia="zh-CN"/>
              </w:rPr>
            </w:pPr>
            <w:r>
              <w:rPr>
                <w:rFonts w:hint="eastAsia"/>
                <w:vertAlign w:val="baseline"/>
                <w:lang w:val="en-US" w:eastAsia="zh-CN"/>
              </w:rPr>
              <w:t>1场</w:t>
            </w:r>
          </w:p>
        </w:tc>
        <w:tc>
          <w:tcPr>
            <w:tcW w:w="1217" w:type="dxa"/>
            <w:vAlign w:val="center"/>
          </w:tcPr>
          <w:p>
            <w:pPr>
              <w:numPr>
                <w:ilvl w:val="0"/>
                <w:numId w:val="0"/>
              </w:numPr>
              <w:jc w:val="center"/>
              <w:rPr>
                <w:rFonts w:hint="default"/>
                <w:vertAlign w:val="baseline"/>
                <w:lang w:val="en-US" w:eastAsia="zh-CN"/>
              </w:rPr>
            </w:pPr>
            <w:r>
              <w:rPr>
                <w:rFonts w:hint="eastAsia"/>
                <w:vertAlign w:val="baseline"/>
                <w:lang w:val="en-US" w:eastAsia="zh-CN"/>
              </w:rPr>
              <w:t>3000元/场</w:t>
            </w:r>
          </w:p>
        </w:tc>
        <w:tc>
          <w:tcPr>
            <w:tcW w:w="1217" w:type="dxa"/>
            <w:vAlign w:val="center"/>
          </w:tcPr>
          <w:p>
            <w:pPr>
              <w:numPr>
                <w:ilvl w:val="0"/>
                <w:numId w:val="0"/>
              </w:numPr>
              <w:jc w:val="center"/>
              <w:rPr>
                <w:rFonts w:hint="default"/>
                <w:vertAlign w:val="baseline"/>
                <w:lang w:val="en-US" w:eastAsia="zh-CN"/>
              </w:rPr>
            </w:pPr>
          </w:p>
        </w:tc>
        <w:tc>
          <w:tcPr>
            <w:tcW w:w="121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0" w:type="dxa"/>
            <w:gridSpan w:val="6"/>
          </w:tcPr>
          <w:p>
            <w:pPr>
              <w:numPr>
                <w:ilvl w:val="0"/>
                <w:numId w:val="0"/>
              </w:numPr>
              <w:jc w:val="center"/>
              <w:rPr>
                <w:rFonts w:hint="default"/>
                <w:vertAlign w:val="baseline"/>
                <w:lang w:val="en-US" w:eastAsia="zh-CN"/>
              </w:rPr>
            </w:pPr>
            <w:r>
              <w:rPr>
                <w:rFonts w:hint="eastAsia"/>
                <w:vertAlign w:val="baseline"/>
                <w:lang w:val="en-US" w:eastAsia="zh-CN"/>
              </w:rPr>
              <w:t>合计</w:t>
            </w:r>
          </w:p>
        </w:tc>
        <w:tc>
          <w:tcPr>
            <w:tcW w:w="1217" w:type="dxa"/>
          </w:tcPr>
          <w:p>
            <w:pPr>
              <w:numPr>
                <w:ilvl w:val="0"/>
                <w:numId w:val="0"/>
              </w:numPr>
              <w:jc w:val="center"/>
              <w:rPr>
                <w:rFonts w:hint="default"/>
                <w:vertAlign w:val="baseline"/>
                <w:lang w:val="en-US" w:eastAsia="zh-CN"/>
              </w:rPr>
            </w:pPr>
          </w:p>
        </w:tc>
      </w:tr>
    </w:tbl>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6A769"/>
    <w:multiLevelType w:val="singleLevel"/>
    <w:tmpl w:val="DEC6A769"/>
    <w:lvl w:ilvl="0" w:tentative="0">
      <w:start w:val="9"/>
      <w:numFmt w:val="chineseCounting"/>
      <w:suff w:val="nothing"/>
      <w:lvlText w:val="%1、"/>
      <w:lvlJc w:val="left"/>
      <w:rPr>
        <w:rFonts w:hint="eastAsia"/>
      </w:rPr>
    </w:lvl>
  </w:abstractNum>
  <w:abstractNum w:abstractNumId="1">
    <w:nsid w:val="27E973EE"/>
    <w:multiLevelType w:val="singleLevel"/>
    <w:tmpl w:val="27E973E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OTBjNjYzMGI5YTk0OWNmZTJlNDkxMzg0MWExODgifQ=="/>
  </w:docVars>
  <w:rsids>
    <w:rsidRoot w:val="00000000"/>
    <w:rsid w:val="00DE5227"/>
    <w:rsid w:val="01806582"/>
    <w:rsid w:val="0808754A"/>
    <w:rsid w:val="08566507"/>
    <w:rsid w:val="0E165E44"/>
    <w:rsid w:val="0F885983"/>
    <w:rsid w:val="17227DA4"/>
    <w:rsid w:val="1F4E1D9F"/>
    <w:rsid w:val="23D57E66"/>
    <w:rsid w:val="24A70F79"/>
    <w:rsid w:val="294A1318"/>
    <w:rsid w:val="2C7C1B54"/>
    <w:rsid w:val="327101DF"/>
    <w:rsid w:val="32A85BBC"/>
    <w:rsid w:val="34B87A7E"/>
    <w:rsid w:val="390B7F1A"/>
    <w:rsid w:val="3A3B6B51"/>
    <w:rsid w:val="3B524560"/>
    <w:rsid w:val="3D520487"/>
    <w:rsid w:val="43292064"/>
    <w:rsid w:val="45C26710"/>
    <w:rsid w:val="46C107C7"/>
    <w:rsid w:val="47DC39B9"/>
    <w:rsid w:val="504B0810"/>
    <w:rsid w:val="51697800"/>
    <w:rsid w:val="53C9715A"/>
    <w:rsid w:val="57D163E0"/>
    <w:rsid w:val="5A026F30"/>
    <w:rsid w:val="5AD22D98"/>
    <w:rsid w:val="5BB10BFF"/>
    <w:rsid w:val="5C040D41"/>
    <w:rsid w:val="5CB56DF7"/>
    <w:rsid w:val="66660EC4"/>
    <w:rsid w:val="66FA182E"/>
    <w:rsid w:val="6BBA3B00"/>
    <w:rsid w:val="6D1A6C3C"/>
    <w:rsid w:val="6DB50A53"/>
    <w:rsid w:val="70AD0228"/>
    <w:rsid w:val="72966EF6"/>
    <w:rsid w:val="76C26C7D"/>
    <w:rsid w:val="7B242D44"/>
    <w:rsid w:val="7BFA5975"/>
    <w:rsid w:val="7F32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962</Words>
  <Characters>992</Characters>
  <Lines>0</Lines>
  <Paragraphs>0</Paragraphs>
  <TotalTime>7</TotalTime>
  <ScaleCrop>false</ScaleCrop>
  <LinksUpToDate>false</LinksUpToDate>
  <CharactersWithSpaces>999</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爱喝粥的米老鼠</cp:lastModifiedBy>
  <dcterms:modified xsi:type="dcterms:W3CDTF">2022-06-14T01:52:55Z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AE353DD80E7B4F988B4E1117DE469505</vt:lpwstr>
  </property>
</Properties>
</file>