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color w:val="auto"/>
          <w:sz w:val="24"/>
          <w:highlight w:val="none"/>
        </w:rPr>
      </w:pPr>
    </w:p>
    <w:p>
      <w:pPr>
        <w:kinsoku/>
        <w:wordWrap/>
        <w:overflowPunct/>
        <w:topLinePunct w:val="0"/>
        <w:bidi w:val="0"/>
        <w:adjustRightInd/>
        <w:spacing w:line="360" w:lineRule="auto"/>
        <w:jc w:val="center"/>
        <w:outlineLvl w:val="9"/>
        <w:rPr>
          <w:rFonts w:ascii="宋体" w:hAnsi="宋体" w:cs="宋体"/>
          <w:b/>
          <w:color w:val="auto"/>
          <w:sz w:val="48"/>
          <w:szCs w:val="48"/>
          <w:highlight w:val="none"/>
        </w:rPr>
      </w:pPr>
    </w:p>
    <w:p>
      <w:pPr>
        <w:kinsoku/>
        <w:wordWrap/>
        <w:overflowPunct/>
        <w:topLinePunct w:val="0"/>
        <w:bidi w:val="0"/>
        <w:outlineLvl w:val="9"/>
        <w:rPr>
          <w:color w:val="auto"/>
          <w:highlight w:val="none"/>
        </w:rPr>
      </w:pPr>
    </w:p>
    <w:p>
      <w:pPr>
        <w:kinsoku/>
        <w:wordWrap/>
        <w:overflowPunct/>
        <w:topLinePunct w:val="0"/>
        <w:bidi w:val="0"/>
        <w:adjustRightInd/>
        <w:spacing w:line="360" w:lineRule="auto"/>
        <w:jc w:val="center"/>
        <w:outlineLvl w:val="9"/>
        <w:rPr>
          <w:rFonts w:hint="eastAsia" w:ascii="宋体" w:hAnsi="宋体" w:cs="宋体"/>
          <w:color w:val="auto"/>
          <w:sz w:val="48"/>
          <w:szCs w:val="48"/>
          <w:highlight w:val="none"/>
        </w:rPr>
      </w:pPr>
      <w:r>
        <w:rPr>
          <w:rFonts w:hint="eastAsia" w:ascii="宋体" w:hAnsi="宋体" w:cs="宋体"/>
          <w:color w:val="auto"/>
          <w:sz w:val="48"/>
          <w:szCs w:val="48"/>
          <w:highlight w:val="none"/>
        </w:rPr>
        <w:t>招标文件</w:t>
      </w:r>
    </w:p>
    <w:p>
      <w:pPr>
        <w:kinsoku/>
        <w:wordWrap/>
        <w:overflowPunct/>
        <w:topLinePunct w:val="0"/>
        <w:bidi w:val="0"/>
        <w:adjustRightInd/>
        <w:spacing w:line="360" w:lineRule="auto"/>
        <w:jc w:val="center"/>
        <w:outlineLvl w:val="9"/>
        <w:rPr>
          <w:rFonts w:ascii="宋体" w:hAnsi="宋体" w:cs="宋体"/>
          <w:b/>
          <w:color w:val="auto"/>
          <w:sz w:val="44"/>
          <w:szCs w:val="44"/>
          <w:highlight w:val="none"/>
        </w:rPr>
      </w:pPr>
      <w:r>
        <w:rPr>
          <w:rFonts w:hint="eastAsia" w:ascii="宋体" w:hAnsi="宋体" w:cs="宋体"/>
          <w:b/>
          <w:color w:val="auto"/>
          <w:sz w:val="44"/>
          <w:szCs w:val="44"/>
          <w:highlight w:val="none"/>
        </w:rPr>
        <w:t>（电子招投标）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highlight w:val="non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eastAsia="zh-CN"/>
        </w:rPr>
        <w:t xml:space="preserve">：CBZJ-20246021G </w:t>
      </w:r>
      <w:r>
        <w:rPr>
          <w:rFonts w:hint="eastAsia" w:ascii="宋体" w:hAnsi="宋体" w:cs="宋体"/>
          <w:color w:val="auto"/>
          <w:sz w:val="30"/>
          <w:szCs w:val="30"/>
          <w:highlight w:val="none"/>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highlight w:val="none"/>
        </w:rPr>
      </w:pPr>
      <w:r>
        <w:rPr>
          <w:rFonts w:hint="eastAsia" w:ascii="宋体" w:hAnsi="宋体" w:cs="宋体"/>
          <w:color w:val="auto"/>
          <w:sz w:val="30"/>
          <w:szCs w:val="30"/>
          <w:highlight w:val="none"/>
        </w:rPr>
        <w:t>项目名称：</w:t>
      </w:r>
      <w:r>
        <w:rPr>
          <w:rFonts w:hint="eastAsia" w:ascii="宋体" w:hAnsi="宋体" w:cs="宋体"/>
          <w:color w:val="auto"/>
          <w:sz w:val="30"/>
          <w:szCs w:val="30"/>
          <w:highlight w:val="none"/>
          <w:lang w:eastAsia="zh-CN"/>
        </w:rPr>
        <w:t>2024-2026年度宁海县城区公共环境除四害项目</w:t>
      </w:r>
    </w:p>
    <w:p>
      <w:pPr>
        <w:kinsoku/>
        <w:wordWrap/>
        <w:overflowPunct/>
        <w:topLinePunct w:val="0"/>
        <w:bidi w:val="0"/>
        <w:adjustRightInd/>
        <w:spacing w:line="360" w:lineRule="auto"/>
        <w:outlineLvl w:val="9"/>
        <w:rPr>
          <w:rFonts w:ascii="宋体" w:hAnsi="宋体" w:cs="宋体"/>
          <w:color w:val="auto"/>
          <w:sz w:val="28"/>
          <w:szCs w:val="20"/>
          <w:highlight w:val="none"/>
        </w:rPr>
      </w:pPr>
    </w:p>
    <w:p>
      <w:pPr>
        <w:kinsoku/>
        <w:wordWrap/>
        <w:overflowPunct/>
        <w:topLinePunct w:val="0"/>
        <w:bidi w:val="0"/>
        <w:spacing w:line="360" w:lineRule="auto"/>
        <w:jc w:val="center"/>
        <w:outlineLvl w:val="9"/>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kinsoku/>
        <w:wordWrap/>
        <w:overflowPunct/>
        <w:topLinePunct w:val="0"/>
        <w:bidi w:val="0"/>
        <w:spacing w:line="360" w:lineRule="auto"/>
        <w:jc w:val="center"/>
        <w:outlineLvl w:val="9"/>
        <w:rPr>
          <w:rFonts w:ascii="宋体" w:hAnsi="宋体" w:cs="宋体"/>
          <w:b/>
          <w:color w:val="auto"/>
          <w:sz w:val="44"/>
          <w:szCs w:val="44"/>
          <w:highlight w:val="none"/>
        </w:rPr>
      </w:pPr>
    </w:p>
    <w:p>
      <w:pPr>
        <w:kinsoku/>
        <w:wordWrap/>
        <w:overflowPunct/>
        <w:topLinePunct w:val="0"/>
        <w:bidi w:val="0"/>
        <w:spacing w:line="360" w:lineRule="auto"/>
        <w:jc w:val="center"/>
        <w:outlineLvl w:val="9"/>
        <w:rPr>
          <w:rFonts w:ascii="宋体" w:hAnsi="宋体" w:cs="宋体"/>
          <w:color w:val="auto"/>
          <w:sz w:val="24"/>
          <w:highlight w:val="none"/>
        </w:rPr>
      </w:pPr>
    </w:p>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jc w:val="center"/>
        <w:outlineLvl w:val="9"/>
        <w:rPr>
          <w:rFonts w:hint="eastAsia" w:ascii="宋体" w:hAnsi="宋体" w:cs="宋体"/>
          <w:bCs/>
          <w:color w:val="auto"/>
          <w:sz w:val="32"/>
          <w:szCs w:val="32"/>
          <w:highlight w:val="none"/>
        </w:rPr>
      </w:pPr>
      <w:r>
        <w:rPr>
          <w:rFonts w:hint="eastAsia" w:ascii="宋体" w:hAnsi="宋体" w:cs="宋体"/>
          <w:bCs/>
          <w:color w:val="auto"/>
          <w:sz w:val="32"/>
          <w:szCs w:val="32"/>
          <w:highlight w:val="none"/>
        </w:rPr>
        <w:t>采购人：</w:t>
      </w:r>
      <w:r>
        <w:rPr>
          <w:rFonts w:hint="eastAsia" w:ascii="宋体" w:hAnsi="宋体" w:cs="宋体"/>
          <w:bCs/>
          <w:color w:val="auto"/>
          <w:sz w:val="32"/>
          <w:szCs w:val="32"/>
          <w:highlight w:val="none"/>
          <w:lang w:eastAsia="zh-CN"/>
        </w:rPr>
        <w:t>宁海县卫生健康局</w:t>
      </w:r>
    </w:p>
    <w:p>
      <w:pPr>
        <w:kinsoku/>
        <w:wordWrap/>
        <w:overflowPunct/>
        <w:topLinePunct w:val="0"/>
        <w:bidi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采购代理机构：</w:t>
      </w:r>
      <w:r>
        <w:rPr>
          <w:rFonts w:hint="eastAsia" w:ascii="宋体" w:hAnsi="宋体" w:cs="宋体"/>
          <w:bCs/>
          <w:color w:val="auto"/>
          <w:sz w:val="32"/>
          <w:szCs w:val="32"/>
          <w:highlight w:val="none"/>
          <w:lang w:eastAsia="zh-CN"/>
        </w:rPr>
        <w:t>浙江中基正采管理咨询有限公司</w:t>
      </w:r>
    </w:p>
    <w:p>
      <w:pPr>
        <w:kinsoku/>
        <w:wordWrap/>
        <w:overflowPunct/>
        <w:topLinePunct w:val="0"/>
        <w:bidi w:val="0"/>
        <w:snapToGrid w:val="0"/>
        <w:spacing w:line="360" w:lineRule="auto"/>
        <w:jc w:val="center"/>
        <w:outlineLvl w:val="9"/>
        <w:rPr>
          <w:rFonts w:hint="eastAsia" w:ascii="宋体" w:hAnsi="宋体" w:cs="宋体"/>
          <w:bCs/>
          <w:color w:val="auto"/>
          <w:sz w:val="32"/>
          <w:szCs w:val="32"/>
          <w:highlight w:val="none"/>
        </w:rPr>
      </w:pPr>
    </w:p>
    <w:p>
      <w:pPr>
        <w:kinsoku/>
        <w:wordWrap/>
        <w:overflowPunct/>
        <w:topLinePunct w:val="0"/>
        <w:bidi w:val="0"/>
        <w:snapToGrid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月</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kinsoku/>
        <w:wordWrap/>
        <w:overflowPunct/>
        <w:topLinePunct w:val="0"/>
        <w:bidi w:val="0"/>
        <w:spacing w:line="360" w:lineRule="auto"/>
        <w:jc w:val="center"/>
        <w:outlineLvl w:val="9"/>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kinsoku/>
        <w:wordWrap/>
        <w:overflowPunct/>
        <w:topLinePunct w:val="0"/>
        <w:bidi w:val="0"/>
        <w:spacing w:line="360" w:lineRule="auto"/>
        <w:jc w:val="center"/>
        <w:outlineLvl w:val="9"/>
        <w:rPr>
          <w:rFonts w:ascii="宋体" w:hAnsi="宋体" w:cs="宋体"/>
          <w:color w:val="auto"/>
          <w:sz w:val="24"/>
          <w:highlight w:val="none"/>
        </w:rPr>
      </w:pPr>
    </w:p>
    <w:p>
      <w:pPr>
        <w:kinsoku/>
        <w:wordWrap/>
        <w:overflowPunct/>
        <w:topLinePunct w:val="0"/>
        <w:bidi w:val="0"/>
        <w:spacing w:line="360" w:lineRule="auto"/>
        <w:jc w:val="center"/>
        <w:outlineLvl w:val="9"/>
        <w:rPr>
          <w:rFonts w:hint="eastAsia" w:ascii="宋体" w:hAnsi="宋体" w:cs="宋体"/>
          <w:b/>
          <w:color w:val="auto"/>
          <w:sz w:val="48"/>
          <w:szCs w:val="48"/>
          <w:highlight w:val="none"/>
        </w:rPr>
      </w:pPr>
    </w:p>
    <w:p>
      <w:pPr>
        <w:kinsoku/>
        <w:wordWrap/>
        <w:overflowPunct/>
        <w:topLinePunct w:val="0"/>
        <w:bidi w:val="0"/>
        <w:spacing w:line="360" w:lineRule="auto"/>
        <w:jc w:val="center"/>
        <w:outlineLvl w:val="9"/>
        <w:rPr>
          <w:rFonts w:ascii="宋体" w:hAnsi="宋体" w:cs="宋体"/>
          <w:b/>
          <w:color w:val="auto"/>
          <w:sz w:val="48"/>
          <w:szCs w:val="48"/>
          <w:highlight w:val="none"/>
        </w:rPr>
      </w:pPr>
      <w:r>
        <w:rPr>
          <w:rFonts w:hint="eastAsia" w:ascii="宋体" w:hAnsi="宋体" w:cs="宋体"/>
          <w:b/>
          <w:color w:val="auto"/>
          <w:sz w:val="48"/>
          <w:szCs w:val="48"/>
          <w:highlight w:val="none"/>
        </w:rPr>
        <w:t>目  录</w:t>
      </w:r>
    </w:p>
    <w:sdt>
      <w:sdtPr>
        <w:rPr>
          <w:rFonts w:ascii="宋体" w:hAnsi="宋体" w:eastAsia="宋体" w:cs="Times New Roman"/>
          <w:color w:val="auto"/>
          <w:kern w:val="2"/>
          <w:sz w:val="21"/>
          <w:szCs w:val="24"/>
          <w:highlight w:val="none"/>
          <w:lang w:val="en-US" w:eastAsia="zh-CN" w:bidi="ar-SA"/>
        </w:rPr>
        <w:id w:val="147454320"/>
        <w15:color w:val="DBDBDB"/>
        <w:docPartObj>
          <w:docPartGallery w:val="Table of Contents"/>
          <w:docPartUnique/>
        </w:docPartObj>
      </w:sdtPr>
      <w:sdtEndPr>
        <w:rPr>
          <w:rFonts w:ascii="宋体" w:hAnsi="宋体" w:eastAsia="宋体" w:cs="宋体"/>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TOC \o "1-1" \h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_Toc9238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第一部分 </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_Toc9238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_Toc29691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第二部分 </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_Toc29691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_Toc26044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第三部分  采购需求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_Toc26044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23</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_Toc18651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第四部分  评标办法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_Toc18651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28</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_Toc8264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第五部分 </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拟签订的合同文本</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_Toc8264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4"/>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_Toc22993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第六部分</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应提交的有关格式范例</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_Toc22993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46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32"/>
              <w:szCs w:val="32"/>
              <w:highlight w:val="none"/>
            </w:rPr>
          </w:pPr>
          <w:r>
            <w:rPr>
              <w:rFonts w:hint="eastAsia" w:ascii="宋体" w:hAnsi="宋体" w:eastAsia="宋体" w:cs="宋体"/>
              <w:color w:val="auto"/>
              <w:sz w:val="32"/>
              <w:szCs w:val="32"/>
              <w:highlight w:val="none"/>
            </w:rPr>
            <w:fldChar w:fldCharType="end"/>
          </w:r>
        </w:p>
      </w:sdtContent>
    </w:sdt>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outlineLvl w:val="9"/>
        <w:rPr>
          <w:rFonts w:ascii="宋体" w:hAnsi="宋体" w:cs="宋体"/>
          <w:color w:val="auto"/>
          <w:sz w:val="24"/>
          <w:highlight w:val="none"/>
        </w:rPr>
      </w:pPr>
    </w:p>
    <w:bookmarkEnd w:id="2"/>
    <w:p>
      <w:pPr>
        <w:rPr>
          <w:rFonts w:hint="eastAsia" w:ascii="宋体" w:hAnsi="宋体" w:cs="宋体"/>
          <w:b/>
          <w:color w:val="auto"/>
          <w:sz w:val="36"/>
          <w:szCs w:val="20"/>
          <w:highlight w:val="none"/>
        </w:rPr>
      </w:pPr>
      <w:bookmarkStart w:id="3" w:name="_Hlt74729822"/>
      <w:bookmarkEnd w:id="3"/>
      <w:bookmarkStart w:id="4" w:name="_Hlt74649545"/>
      <w:bookmarkEnd w:id="4"/>
      <w:bookmarkStart w:id="5" w:name="_Hlt74707423"/>
      <w:bookmarkEnd w:id="5"/>
      <w:bookmarkStart w:id="6" w:name="_Hlt74728647"/>
      <w:bookmarkEnd w:id="6"/>
      <w:bookmarkStart w:id="7" w:name="第二部分"/>
      <w:bookmarkStart w:id="8" w:name="_Toc91899870"/>
      <w:bookmarkStart w:id="9" w:name="_Toc91899871"/>
      <w:r>
        <w:rPr>
          <w:rFonts w:hint="eastAsia" w:ascii="宋体" w:hAnsi="宋体" w:cs="宋体"/>
          <w:b/>
          <w:color w:val="auto"/>
          <w:sz w:val="36"/>
          <w:szCs w:val="20"/>
          <w:highlight w:val="none"/>
        </w:rPr>
        <w:br w:type="page"/>
      </w:r>
    </w:p>
    <w:p>
      <w:pPr>
        <w:rPr>
          <w:rFonts w:hint="eastAsia"/>
          <w:color w:val="auto"/>
          <w:highlight w:val="none"/>
        </w:rPr>
      </w:pPr>
      <w:r>
        <w:rPr>
          <w:rFonts w:hint="eastAsia"/>
          <w:color w:val="auto"/>
          <w:highlight w:val="none"/>
        </w:rPr>
        <w:br w:type="page"/>
      </w:r>
    </w:p>
    <w:p>
      <w:pPr>
        <w:rPr>
          <w:rFonts w:hint="eastAsia"/>
          <w:color w:val="auto"/>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color w:val="auto"/>
          <w:sz w:val="36"/>
          <w:szCs w:val="20"/>
          <w:highlight w:val="none"/>
        </w:rPr>
      </w:pPr>
      <w:bookmarkStart w:id="10" w:name="_Toc9238"/>
      <w:r>
        <w:rPr>
          <w:rFonts w:hint="eastAsia" w:ascii="宋体" w:hAnsi="宋体" w:cs="宋体"/>
          <w:b/>
          <w:color w:val="auto"/>
          <w:sz w:val="36"/>
          <w:szCs w:val="20"/>
          <w:highlight w:val="none"/>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rPr>
        <w:t>（</w:t>
      </w:r>
      <w:r>
        <w:rPr>
          <w:rFonts w:hint="eastAsia" w:cs="仿宋_GB2312" w:asciiTheme="minorEastAsia" w:hAnsiTheme="minorEastAsia" w:eastAsiaTheme="minorEastAsia"/>
          <w:color w:val="auto"/>
          <w:sz w:val="24"/>
          <w:highlight w:val="none"/>
          <w:u w:val="single"/>
          <w:lang w:eastAsia="zh-CN"/>
        </w:rPr>
        <w:t>2024-2026年度宁海县城区公共环境除四害项目</w:t>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招标项目的潜在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rPr>
        <w:t>202</w:t>
      </w:r>
      <w:r>
        <w:rPr>
          <w:rStyle w:val="76"/>
          <w:rFonts w:hint="eastAsia" w:cs="Times New Roman" w:asciiTheme="minorEastAsia" w:hAnsiTheme="minorEastAsia" w:eastAsiaTheme="minorEastAsia"/>
          <w:snapToGrid/>
          <w:color w:val="auto"/>
          <w:kern w:val="2"/>
          <w:sz w:val="24"/>
          <w:szCs w:val="24"/>
          <w:highlight w:val="none"/>
          <w:lang w:val="en-US" w:eastAsia="zh-CN"/>
        </w:rPr>
        <w:t>4</w:t>
      </w:r>
      <w:r>
        <w:rPr>
          <w:rStyle w:val="76"/>
          <w:rFonts w:cs="Times New Roman" w:asciiTheme="minorEastAsia" w:hAnsiTheme="minorEastAsia" w:eastAsiaTheme="minorEastAsia"/>
          <w:snapToGrid/>
          <w:color w:val="auto"/>
          <w:kern w:val="2"/>
          <w:sz w:val="24"/>
          <w:szCs w:val="24"/>
          <w:highlight w:val="none"/>
        </w:rPr>
        <w:t>年</w:t>
      </w:r>
      <w:r>
        <w:rPr>
          <w:rStyle w:val="76"/>
          <w:rFonts w:hint="eastAsia" w:cs="Times New Roman" w:asciiTheme="minorEastAsia" w:hAnsiTheme="minorEastAsia" w:eastAsiaTheme="minorEastAsia"/>
          <w:snapToGrid/>
          <w:color w:val="auto"/>
          <w:kern w:val="2"/>
          <w:sz w:val="24"/>
          <w:szCs w:val="24"/>
          <w:highlight w:val="none"/>
          <w:lang w:val="en-US" w:eastAsia="zh-CN"/>
        </w:rPr>
        <w:t>04</w:t>
      </w:r>
      <w:r>
        <w:rPr>
          <w:rStyle w:val="76"/>
          <w:rFonts w:hint="eastAsia" w:cs="Times New Roman" w:asciiTheme="minorEastAsia" w:hAnsiTheme="minorEastAsia" w:eastAsiaTheme="minorEastAsia"/>
          <w:snapToGrid/>
          <w:color w:val="auto"/>
          <w:kern w:val="2"/>
          <w:sz w:val="24"/>
          <w:szCs w:val="24"/>
          <w:highlight w:val="none"/>
        </w:rPr>
        <w:t>月</w:t>
      </w:r>
      <w:r>
        <w:rPr>
          <w:rStyle w:val="76"/>
          <w:rFonts w:hint="eastAsia" w:cs="Times New Roman" w:asciiTheme="minorEastAsia" w:hAnsiTheme="minorEastAsia" w:eastAsiaTheme="minorEastAsia"/>
          <w:snapToGrid/>
          <w:color w:val="auto"/>
          <w:kern w:val="2"/>
          <w:sz w:val="24"/>
          <w:szCs w:val="24"/>
          <w:highlight w:val="none"/>
          <w:lang w:val="en-US" w:eastAsia="zh-CN"/>
        </w:rPr>
        <w:t>10</w:t>
      </w:r>
      <w:r>
        <w:rPr>
          <w:rStyle w:val="76"/>
          <w:rFonts w:hint="eastAsia" w:cs="Times New Roman" w:asciiTheme="minorEastAsia" w:hAnsiTheme="minorEastAsia" w:eastAsiaTheme="minorEastAsia"/>
          <w:snapToGrid/>
          <w:color w:val="auto"/>
          <w:kern w:val="2"/>
          <w:sz w:val="24"/>
          <w:szCs w:val="24"/>
          <w:highlight w:val="none"/>
        </w:rPr>
        <w:t>日</w:t>
      </w:r>
      <w:r>
        <w:rPr>
          <w:rStyle w:val="76"/>
          <w:rFonts w:hint="eastAsia" w:cs="Times New Roman" w:asciiTheme="minorEastAsia" w:hAnsiTheme="minorEastAsia" w:eastAsiaTheme="minorEastAsia"/>
          <w:snapToGrid/>
          <w:color w:val="auto"/>
          <w:kern w:val="2"/>
          <w:sz w:val="24"/>
          <w:szCs w:val="24"/>
          <w:highlight w:val="none"/>
          <w:lang w:val="en-US" w:eastAsia="zh-CN"/>
        </w:rPr>
        <w:t>13</w:t>
      </w:r>
      <w:r>
        <w:rPr>
          <w:rStyle w:val="76"/>
          <w:rFonts w:hint="eastAsia" w:cs="Times New Roman" w:asciiTheme="minorEastAsia" w:hAnsiTheme="minorEastAsia" w:eastAsiaTheme="minorEastAsia"/>
          <w:snapToGrid/>
          <w:color w:val="auto"/>
          <w:kern w:val="2"/>
          <w:sz w:val="24"/>
          <w:szCs w:val="24"/>
          <w:highlight w:val="none"/>
        </w:rPr>
        <w:t>点</w:t>
      </w:r>
      <w:r>
        <w:rPr>
          <w:rStyle w:val="76"/>
          <w:rFonts w:hint="eastAsia" w:cs="Times New Roman" w:asciiTheme="minorEastAsia" w:hAnsiTheme="minorEastAsia" w:eastAsiaTheme="minorEastAsia"/>
          <w:snapToGrid/>
          <w:color w:val="auto"/>
          <w:kern w:val="2"/>
          <w:sz w:val="24"/>
          <w:szCs w:val="24"/>
          <w:highlight w:val="none"/>
          <w:lang w:val="en-US" w:eastAsia="zh-CN"/>
        </w:rPr>
        <w:t>30</w:t>
      </w:r>
      <w:r>
        <w:rPr>
          <w:rStyle w:val="76"/>
          <w:rFonts w:hint="eastAsia" w:cs="Times New Roman" w:asciiTheme="minorEastAsia" w:hAnsiTheme="minorEastAsia" w:eastAsiaTheme="minorEastAsia"/>
          <w:snapToGrid/>
          <w:color w:val="auto"/>
          <w:kern w:val="2"/>
          <w:sz w:val="24"/>
          <w:szCs w:val="24"/>
          <w:highlight w:val="none"/>
        </w:rPr>
        <w:t>分</w:t>
      </w:r>
      <w:r>
        <w:rPr>
          <w:rStyle w:val="76"/>
          <w:rFonts w:hint="eastAsia" w:cs="Times New Roman" w:asciiTheme="minorEastAsia" w:hAnsiTheme="minorEastAsia" w:eastAsiaTheme="minorEastAsia"/>
          <w:bCs/>
          <w:snapToGrid/>
          <w:color w:val="auto"/>
          <w:kern w:val="2"/>
          <w:sz w:val="24"/>
          <w:szCs w:val="24"/>
          <w:highlight w:val="none"/>
        </w:rPr>
        <w:t>00秒</w:t>
      </w:r>
      <w:r>
        <w:rPr>
          <w:rStyle w:val="76"/>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val="0"/>
          <w:bCs/>
          <w:color w:val="auto"/>
          <w:sz w:val="24"/>
          <w:highlight w:val="none"/>
          <w:lang w:eastAsia="zh-CN"/>
        </w:rPr>
        <w:t>CBZJ-20246021G</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val="0"/>
          <w:bCs/>
          <w:color w:val="auto"/>
          <w:sz w:val="24"/>
          <w:highlight w:val="none"/>
          <w:lang w:eastAsia="zh-CN"/>
        </w:rPr>
        <w:t>2024-2026年度宁海县城区公共环境除四害项目</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val="0"/>
          <w:bCs/>
          <w:color w:val="auto"/>
          <w:sz w:val="24"/>
          <w:highlight w:val="none"/>
          <w:lang w:val="en-US" w:eastAsia="zh-CN"/>
        </w:rPr>
        <w:t>4800000.00</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rPr>
      </w:pPr>
      <w:r>
        <w:rPr>
          <w:rFonts w:hint="eastAsia" w:ascii="宋体" w:hAnsi="宋体" w:cs="宋体"/>
          <w:b/>
          <w:color w:val="auto"/>
          <w:sz w:val="24"/>
          <w:highlight w:val="none"/>
        </w:rPr>
        <w:t>最高限价（元）：</w:t>
      </w:r>
      <w:r>
        <w:rPr>
          <w:rFonts w:hint="eastAsia" w:ascii="宋体" w:hAnsi="宋体" w:cs="宋体"/>
          <w:color w:val="auto"/>
          <w:sz w:val="24"/>
          <w:highlight w:val="none"/>
          <w:lang w:val="en-US" w:eastAsia="zh-CN"/>
        </w:rPr>
        <w:t>3300000.00,1500000.00</w:t>
      </w:r>
    </w:p>
    <w:p>
      <w:pPr>
        <w:pStyle w:val="6"/>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highlight w:val="none"/>
        </w:rPr>
      </w:pPr>
      <w:r>
        <w:rPr>
          <w:rFonts w:hint="eastAsia" w:hAnsi="宋体" w:cs="宋体"/>
          <w:b/>
          <w:color w:val="auto"/>
          <w:sz w:val="24"/>
          <w:highlight w:val="none"/>
        </w:rPr>
        <w:t>采购需求：</w:t>
      </w:r>
    </w:p>
    <w:p>
      <w:pPr>
        <w:shd w:val="clear"/>
        <w:spacing w:line="360" w:lineRule="auto"/>
        <w:ind w:leftChars="100" w:firstLine="480"/>
        <w:rPr>
          <w:rFonts w:hint="default" w:ascii="宋体" w:hAnsi="宋体" w:eastAsia="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标项一：</w:t>
      </w:r>
    </w:p>
    <w:p>
      <w:pPr>
        <w:shd w:val="clear"/>
        <w:spacing w:line="360" w:lineRule="auto"/>
        <w:ind w:leftChars="100"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标项名称</w:t>
      </w:r>
      <w:r>
        <w:rPr>
          <w:rFonts w:hint="eastAsia" w:ascii="宋体" w:hAnsi="宋体" w:eastAsia="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lang w:eastAsia="zh-CN"/>
        </w:rPr>
        <w:t>宁海县城区公共环境除四害（跃龙街道）</w:t>
      </w:r>
    </w:p>
    <w:p>
      <w:pPr>
        <w:shd w:val="clear"/>
        <w:spacing w:line="360" w:lineRule="auto"/>
        <w:ind w:leftChars="100" w:firstLine="480"/>
        <w:rPr>
          <w:rFonts w:hint="default" w:ascii="宋体" w:hAnsi="宋体" w:eastAsia="宋体" w:cs="宋体"/>
          <w:snapToGrid w:val="0"/>
          <w:color w:val="auto"/>
          <w:kern w:val="28"/>
          <w:sz w:val="24"/>
          <w:szCs w:val="20"/>
          <w:highlight w:val="none"/>
          <w:lang w:val="en-US"/>
        </w:rPr>
      </w:pPr>
      <w:r>
        <w:rPr>
          <w:rFonts w:hint="eastAsia" w:ascii="宋体" w:hAnsi="宋体" w:eastAsia="宋体" w:cs="宋体"/>
          <w:snapToGrid w:val="0"/>
          <w:color w:val="auto"/>
          <w:kern w:val="28"/>
          <w:sz w:val="24"/>
          <w:szCs w:val="20"/>
          <w:highlight w:val="none"/>
        </w:rPr>
        <w:t>数量</w:t>
      </w:r>
      <w:r>
        <w:rPr>
          <w:rFonts w:hint="eastAsia" w:ascii="宋体" w:hAnsi="宋体" w:eastAsia="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lang w:val="en-US" w:eastAsia="zh-CN"/>
        </w:rPr>
        <w:t>1项</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rPr>
        <w:t>预算金额（元）</w:t>
      </w:r>
      <w:r>
        <w:rPr>
          <w:rFonts w:hint="eastAsia" w:ascii="宋体" w:hAnsi="宋体" w:eastAsia="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lang w:val="en-US" w:eastAsia="zh-CN"/>
        </w:rPr>
        <w:t>3300000</w:t>
      </w:r>
      <w:r>
        <w:rPr>
          <w:rFonts w:hint="eastAsia" w:ascii="宋体" w:hAnsi="宋体" w:eastAsia="宋体" w:cs="宋体"/>
          <w:snapToGrid w:val="0"/>
          <w:color w:val="auto"/>
          <w:kern w:val="28"/>
          <w:sz w:val="24"/>
          <w:szCs w:val="20"/>
          <w:highlight w:val="none"/>
          <w:lang w:val="en-US" w:eastAsia="zh-CN"/>
        </w:rPr>
        <w:t>.00</w:t>
      </w:r>
    </w:p>
    <w:p>
      <w:pPr>
        <w:shd w:val="clear"/>
        <w:spacing w:line="360" w:lineRule="auto"/>
        <w:ind w:leftChars="100"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简要规格描述或项目基本概况介绍、用途：</w:t>
      </w:r>
      <w:r>
        <w:rPr>
          <w:rFonts w:hint="eastAsia" w:ascii="宋体" w:hAnsi="宋体" w:eastAsia="宋体" w:cs="宋体"/>
          <w:snapToGrid w:val="0"/>
          <w:color w:val="auto"/>
          <w:kern w:val="28"/>
          <w:sz w:val="24"/>
          <w:szCs w:val="20"/>
          <w:highlight w:val="none"/>
          <w:lang w:val="en-US" w:eastAsia="zh-CN"/>
        </w:rPr>
        <w:t>具体以招标文件第三部分采购需求为准，供应商可点击本公告下方“浏览</w:t>
      </w:r>
      <w:r>
        <w:rPr>
          <w:rFonts w:hint="eastAsia" w:ascii="宋体" w:hAnsi="宋体" w:cs="宋体"/>
          <w:snapToGrid w:val="0"/>
          <w:color w:val="auto"/>
          <w:kern w:val="28"/>
          <w:sz w:val="24"/>
          <w:szCs w:val="20"/>
          <w:highlight w:val="none"/>
          <w:lang w:val="en-US" w:eastAsia="zh-CN"/>
        </w:rPr>
        <w:t>招标文件</w:t>
      </w:r>
      <w:r>
        <w:rPr>
          <w:rFonts w:hint="eastAsia" w:ascii="宋体" w:hAnsi="宋体" w:eastAsia="宋体" w:cs="宋体"/>
          <w:snapToGrid w:val="0"/>
          <w:color w:val="auto"/>
          <w:kern w:val="28"/>
          <w:sz w:val="24"/>
          <w:szCs w:val="20"/>
          <w:highlight w:val="none"/>
          <w:lang w:val="en-US" w:eastAsia="zh-CN"/>
        </w:rPr>
        <w:t>”查看采购需求</w:t>
      </w:r>
      <w:r>
        <w:rPr>
          <w:rFonts w:hint="eastAsia" w:ascii="宋体" w:hAnsi="宋体" w:eastAsia="宋体" w:cs="宋体"/>
          <w:snapToGrid w:val="0"/>
          <w:color w:val="auto"/>
          <w:kern w:val="28"/>
          <w:sz w:val="24"/>
          <w:szCs w:val="20"/>
          <w:highlight w:val="none"/>
        </w:rPr>
        <w:t>。</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rPr>
        <w:t>备注：</w:t>
      </w:r>
      <w:r>
        <w:rPr>
          <w:rFonts w:hint="eastAsia" w:ascii="宋体" w:hAnsi="宋体" w:cs="宋体"/>
          <w:snapToGrid w:val="0"/>
          <w:color w:val="auto"/>
          <w:kern w:val="28"/>
          <w:sz w:val="24"/>
          <w:szCs w:val="20"/>
          <w:highlight w:val="none"/>
          <w:lang w:val="en-US" w:eastAsia="zh-CN"/>
        </w:rPr>
        <w:t>年度最高限价1100000.00元/年</w:t>
      </w:r>
      <w:r>
        <w:rPr>
          <w:rFonts w:hint="eastAsia" w:ascii="宋体" w:hAnsi="宋体" w:eastAsia="宋体" w:cs="宋体"/>
          <w:snapToGrid w:val="0"/>
          <w:color w:val="auto"/>
          <w:kern w:val="28"/>
          <w:sz w:val="24"/>
          <w:szCs w:val="20"/>
          <w:highlight w:val="none"/>
          <w:lang w:val="en-US" w:eastAsia="zh-CN"/>
        </w:rPr>
        <w:t>。</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标项</w:t>
      </w:r>
      <w:r>
        <w:rPr>
          <w:rFonts w:hint="eastAsia" w:ascii="宋体" w:hAnsi="宋体" w:cs="宋体"/>
          <w:snapToGrid w:val="0"/>
          <w:color w:val="auto"/>
          <w:kern w:val="28"/>
          <w:sz w:val="24"/>
          <w:szCs w:val="20"/>
          <w:highlight w:val="none"/>
          <w:lang w:val="en-US" w:eastAsia="zh-CN"/>
        </w:rPr>
        <w:t>二</w:t>
      </w:r>
      <w:r>
        <w:rPr>
          <w:rFonts w:hint="eastAsia" w:ascii="宋体" w:hAnsi="宋体" w:eastAsia="宋体" w:cs="宋体"/>
          <w:snapToGrid w:val="0"/>
          <w:color w:val="auto"/>
          <w:kern w:val="28"/>
          <w:sz w:val="24"/>
          <w:szCs w:val="20"/>
          <w:highlight w:val="none"/>
          <w:lang w:val="en-US" w:eastAsia="zh-CN"/>
        </w:rPr>
        <w:t>：</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标项名称：宁海县城区公共环境除四害（桃源街道）</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数量：1项</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预算金额（元）：</w:t>
      </w:r>
      <w:r>
        <w:rPr>
          <w:rFonts w:hint="eastAsia" w:ascii="宋体" w:hAnsi="宋体" w:cs="宋体"/>
          <w:snapToGrid w:val="0"/>
          <w:color w:val="auto"/>
          <w:kern w:val="28"/>
          <w:sz w:val="24"/>
          <w:szCs w:val="20"/>
          <w:highlight w:val="none"/>
          <w:lang w:val="en-US" w:eastAsia="zh-CN"/>
        </w:rPr>
        <w:t>1500000</w:t>
      </w:r>
      <w:r>
        <w:rPr>
          <w:rFonts w:hint="eastAsia" w:ascii="宋体" w:hAnsi="宋体" w:eastAsia="宋体" w:cs="宋体"/>
          <w:snapToGrid w:val="0"/>
          <w:color w:val="auto"/>
          <w:kern w:val="28"/>
          <w:sz w:val="24"/>
          <w:szCs w:val="20"/>
          <w:highlight w:val="none"/>
          <w:lang w:val="en-US" w:eastAsia="zh-CN"/>
        </w:rPr>
        <w:t>.00</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简要规格描述或项目基本概况介绍、用途：具体以招标文件第三部分采购需求为准，供应商可点击本公告下方“浏览</w:t>
      </w:r>
      <w:r>
        <w:rPr>
          <w:rFonts w:hint="eastAsia" w:ascii="宋体" w:hAnsi="宋体" w:cs="宋体"/>
          <w:snapToGrid w:val="0"/>
          <w:color w:val="auto"/>
          <w:kern w:val="28"/>
          <w:sz w:val="24"/>
          <w:szCs w:val="20"/>
          <w:highlight w:val="none"/>
          <w:lang w:val="en-US" w:eastAsia="zh-CN"/>
        </w:rPr>
        <w:t>招标文件</w:t>
      </w:r>
      <w:r>
        <w:rPr>
          <w:rFonts w:hint="eastAsia" w:ascii="宋体" w:hAnsi="宋体" w:eastAsia="宋体" w:cs="宋体"/>
          <w:snapToGrid w:val="0"/>
          <w:color w:val="auto"/>
          <w:kern w:val="28"/>
          <w:sz w:val="24"/>
          <w:szCs w:val="20"/>
          <w:highlight w:val="none"/>
          <w:lang w:val="en-US" w:eastAsia="zh-CN"/>
        </w:rPr>
        <w:t>”查看采购需求。</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lang w:val="en-US" w:eastAsia="zh-CN"/>
        </w:rPr>
        <w:t>备注：年度最高限价</w:t>
      </w:r>
      <w:r>
        <w:rPr>
          <w:rFonts w:hint="eastAsia" w:ascii="宋体" w:hAnsi="宋体" w:cs="宋体"/>
          <w:snapToGrid w:val="0"/>
          <w:color w:val="auto"/>
          <w:kern w:val="28"/>
          <w:sz w:val="24"/>
          <w:szCs w:val="20"/>
          <w:highlight w:val="none"/>
          <w:lang w:val="en-US" w:eastAsia="zh-CN"/>
        </w:rPr>
        <w:t>500000</w:t>
      </w:r>
      <w:r>
        <w:rPr>
          <w:rFonts w:hint="eastAsia" w:ascii="宋体" w:hAnsi="宋体" w:eastAsia="宋体" w:cs="宋体"/>
          <w:snapToGrid w:val="0"/>
          <w:color w:val="auto"/>
          <w:kern w:val="28"/>
          <w:sz w:val="24"/>
          <w:szCs w:val="20"/>
          <w:highlight w:val="none"/>
          <w:lang w:val="en-US" w:eastAsia="zh-CN"/>
        </w:rPr>
        <w:t>.00元/年。</w:t>
      </w:r>
    </w:p>
    <w:p>
      <w:pPr>
        <w:shd w:val="clear"/>
        <w:spacing w:line="360" w:lineRule="auto"/>
        <w:ind w:leftChars="100" w:firstLine="480"/>
        <w:rPr>
          <w:rFonts w:hint="eastAsia" w:ascii="宋体" w:hAnsi="宋体" w:eastAsia="宋体" w:cs="宋体"/>
          <w:snapToGrid w:val="0"/>
          <w:color w:val="auto"/>
          <w:kern w:val="28"/>
          <w:sz w:val="24"/>
          <w:szCs w:val="20"/>
          <w:highlight w:val="none"/>
          <w:lang w:val="en-US" w:eastAsia="zh-CN"/>
        </w:rPr>
      </w:pPr>
    </w:p>
    <w:p>
      <w:pPr>
        <w:pStyle w:val="132"/>
        <w:keepNext w:val="0"/>
        <w:keepLines w:val="0"/>
        <w:pageBreakBefore w:val="0"/>
        <w:kinsoku/>
        <w:wordWrap/>
        <w:overflowPunct/>
        <w:topLinePunct w:val="0"/>
        <w:autoSpaceDE/>
        <w:autoSpaceDN/>
        <w:bidi w:val="0"/>
        <w:spacing w:before="0" w:line="336" w:lineRule="auto"/>
        <w:ind w:firstLine="482"/>
        <w:textAlignment w:val="auto"/>
        <w:outlineLvl w:val="9"/>
        <w:rPr>
          <w:rFonts w:hint="eastAsia" w:ascii="宋体" w:hAnsi="宋体" w:eastAsia="宋体" w:cs="宋体"/>
          <w:color w:val="auto"/>
          <w:szCs w:val="21"/>
          <w:highlight w:val="none"/>
          <w:lang w:val="en-US" w:eastAsia="zh-CN"/>
        </w:rPr>
      </w:pPr>
      <w:r>
        <w:rPr>
          <w:rFonts w:hint="eastAsia" w:ascii="宋体" w:hAnsi="宋体" w:cs="宋体"/>
          <w:b/>
          <w:color w:val="auto"/>
          <w:highlight w:val="none"/>
        </w:rPr>
        <w:t>合同履约期限：</w:t>
      </w:r>
      <w:r>
        <w:rPr>
          <w:rFonts w:hint="eastAsia" w:ascii="宋体" w:hAnsi="宋体" w:eastAsia="宋体" w:cs="宋体"/>
          <w:color w:val="auto"/>
          <w:szCs w:val="21"/>
          <w:highlight w:val="none"/>
          <w:lang w:val="en-US" w:eastAsia="zh-CN"/>
        </w:rPr>
        <w:t>本项目服务期三年，合同一年一签。根据</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lang w:val="en-US" w:eastAsia="zh-CN"/>
        </w:rPr>
        <w:t>在合同履约期内按照履约、考核等情况决定是否续签。</w:t>
      </w:r>
    </w:p>
    <w:p>
      <w:pPr>
        <w:pStyle w:val="6"/>
        <w:keepNext w:val="0"/>
        <w:keepLines w:val="0"/>
        <w:pageBreakBefore w:val="0"/>
        <w:kinsoku/>
        <w:wordWrap/>
        <w:overflowPunct/>
        <w:topLinePunct w:val="0"/>
        <w:autoSpaceDE/>
        <w:autoSpaceDN/>
        <w:bidi w:val="0"/>
        <w:spacing w:line="336" w:lineRule="auto"/>
        <w:ind w:firstLine="480"/>
        <w:textAlignment w:val="auto"/>
        <w:outlineLvl w:val="9"/>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pacing w:line="336" w:lineRule="auto"/>
        <w:textAlignment w:val="auto"/>
        <w:outlineLvl w:val="9"/>
        <w:rPr>
          <w:rFonts w:hint="eastAsia" w:ascii="宋体" w:hAnsi="宋体" w:cs="宋体"/>
          <w:b/>
          <w:color w:val="auto"/>
          <w:sz w:val="24"/>
          <w:highlight w:val="none"/>
        </w:rPr>
      </w:pP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w:t>
      </w:r>
      <w:r>
        <w:rPr>
          <w:rFonts w:hint="eastAsia" w:ascii="宋体" w:hAnsi="宋体" w:eastAsia="宋体" w:cs="宋体"/>
          <w:snapToGrid w:val="0"/>
          <w:color w:val="auto"/>
          <w:kern w:val="28"/>
          <w:sz w:val="24"/>
          <w:szCs w:val="20"/>
          <w:highlight w:val="none"/>
        </w:rPr>
        <w:t>形式</w:t>
      </w:r>
      <w:r>
        <w:rPr>
          <w:rFonts w:hint="eastAsia" w:ascii="宋体" w:hAnsi="宋体" w:cs="宋体"/>
          <w:snapToGrid w:val="0"/>
          <w:color w:val="auto"/>
          <w:kern w:val="28"/>
          <w:sz w:val="24"/>
          <w:szCs w:val="20"/>
          <w:highlight w:val="none"/>
        </w:rPr>
        <w:t>投标的，提供联合协议；</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w:t>
      </w:r>
      <w:r>
        <w:rPr>
          <w:rFonts w:hint="eastAsia" w:ascii="宋体" w:hAnsi="宋体" w:cs="宋体"/>
          <w:snapToGrid w:val="0"/>
          <w:color w:val="auto"/>
          <w:kern w:val="28"/>
          <w:sz w:val="24"/>
          <w:szCs w:val="20"/>
          <w:highlight w:val="none"/>
          <w:lang w:val="en-US" w:eastAsia="zh-CN"/>
        </w:rPr>
        <w:t xml:space="preserve"> </w:t>
      </w:r>
      <w:r>
        <w:rPr>
          <w:rFonts w:hint="eastAsia" w:ascii="宋体" w:hAnsi="宋体" w:cs="宋体"/>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全部由符合政策要求的中小企业</w:t>
      </w:r>
      <w:r>
        <w:rPr>
          <w:rFonts w:hint="eastAsia" w:ascii="宋体" w:hAnsi="宋体" w:cs="宋体"/>
          <w:color w:val="auto"/>
          <w:sz w:val="24"/>
          <w:highlight w:val="none"/>
          <w:lang w:val="en-US" w:eastAsia="zh-CN"/>
        </w:rPr>
        <w:t>承接</w:t>
      </w:r>
      <w:r>
        <w:rPr>
          <w:rFonts w:hint="eastAsia" w:ascii="宋体" w:hAnsi="宋体" w:cs="宋体"/>
          <w:color w:val="auto"/>
          <w:sz w:val="24"/>
          <w:highlight w:val="none"/>
        </w:rPr>
        <w:t>，提供中小企业声明函；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lang w:val="en-US" w:eastAsia="zh-CN"/>
        </w:rPr>
        <w:t>服务</w:t>
      </w:r>
      <w:r>
        <w:rPr>
          <w:rFonts w:hint="eastAsia" w:ascii="宋体" w:hAnsi="宋体" w:cs="宋体"/>
          <w:color w:val="auto"/>
          <w:sz w:val="24"/>
          <w:highlight w:val="none"/>
        </w:rPr>
        <w:t>全部由符合政策要求的小微企业</w:t>
      </w:r>
      <w:r>
        <w:rPr>
          <w:rFonts w:hint="eastAsia" w:ascii="宋体" w:hAnsi="宋体" w:cs="宋体"/>
          <w:color w:val="auto"/>
          <w:sz w:val="24"/>
          <w:highlight w:val="none"/>
          <w:lang w:val="en-US" w:eastAsia="zh-CN"/>
        </w:rPr>
        <w:t>承接</w:t>
      </w:r>
      <w:r>
        <w:rPr>
          <w:rFonts w:hint="eastAsia" w:ascii="宋体" w:hAnsi="宋体" w:cs="宋体"/>
          <w:color w:val="auto"/>
          <w:sz w:val="24"/>
          <w:highlight w:val="none"/>
        </w:rPr>
        <w:t>，提供中小企业声明函；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eastAsia="宋体" w:cs="Times New Roman"/>
          <w:color w:val="auto"/>
          <w:kern w:val="0"/>
          <w:sz w:val="24"/>
          <w:szCs w:val="24"/>
          <w:highlight w:val="none"/>
          <w:lang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r>
        <w:rPr>
          <w:rFonts w:hint="eastAsia" w:ascii="宋体" w:hAnsi="宋体" w:eastAsia="宋体" w:cs="Times New Roman"/>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将依法取消其中标资格）。</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时间：</w:t>
      </w:r>
      <w:r>
        <w:rPr>
          <w:rFonts w:hint="eastAsia" w:cs="宋体" w:asciiTheme="minorEastAsia" w:hAnsiTheme="minorEastAsia" w:eastAsiaTheme="minorEastAsia"/>
          <w:b w:val="0"/>
          <w:bCs/>
          <w:color w:val="auto"/>
          <w:sz w:val="24"/>
          <w:highlight w:val="none"/>
        </w:rPr>
        <w:t>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03</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19</w:t>
      </w:r>
      <w:r>
        <w:rPr>
          <w:rFonts w:hint="eastAsia" w:cs="宋体" w:asciiTheme="minorEastAsia" w:hAnsiTheme="minorEastAsia" w:eastAsiaTheme="minorEastAsia"/>
          <w:b w:val="0"/>
          <w:bCs/>
          <w:color w:val="auto"/>
          <w:sz w:val="24"/>
          <w:highlight w:val="none"/>
        </w:rPr>
        <w:t>日至202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03</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27</w:t>
      </w:r>
      <w:r>
        <w:rPr>
          <w:rFonts w:hint="eastAsia" w:cs="宋体" w:asciiTheme="minorEastAsia" w:hAnsiTheme="minorEastAsia" w:eastAsiaTheme="minorEastAsia"/>
          <w:b w:val="0"/>
          <w:bCs/>
          <w:color w:val="auto"/>
          <w:sz w:val="24"/>
          <w:highlight w:val="none"/>
        </w:rPr>
        <w:t>日</w:t>
      </w:r>
      <w:r>
        <w:rPr>
          <w:rFonts w:hint="eastAsia" w:cs="宋体" w:asciiTheme="minorEastAsia" w:hAnsiTheme="minorEastAsia" w:eastAsiaTheme="minorEastAsia"/>
          <w:color w:val="auto"/>
          <w:sz w:val="24"/>
          <w:highlight w:val="none"/>
        </w:rPr>
        <w:t>，</w:t>
      </w:r>
      <w:r>
        <w:rPr>
          <w:rFonts w:hint="eastAsia" w:ascii="宋体" w:hAnsi="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菜单中选择项目，获取招标文件；④投标文件的制作</w:t>
      </w:r>
      <w:r>
        <w:rPr>
          <w:rFonts w:hint="eastAsia" w:cs="仿宋_GB2312" w:asciiTheme="minorEastAsia" w:hAnsiTheme="minorEastAsia" w:eastAsiaTheme="minorEastAsia"/>
          <w:color w:val="auto"/>
          <w:sz w:val="24"/>
          <w:highlight w:val="none"/>
        </w:rPr>
        <w:t>（文件后缀为：jmbs）</w:t>
      </w:r>
      <w:r>
        <w:rPr>
          <w:rFonts w:hint="eastAsia" w:ascii="宋体" w:hAnsi="宋体" w:cs="宋体"/>
          <w:color w:val="auto"/>
          <w:sz w:val="24"/>
          <w:highlight w:val="none"/>
        </w:rPr>
        <w:t>：在“政采云电子交易客户端”中完成“填写基本信息”、“导入投标文件”、“标书关联”、“标书检查”、“电子签名”、“生成电子标书”等操作；⑤采购人、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color w:val="auto"/>
          <w:sz w:val="24"/>
          <w:highlight w:val="none"/>
          <w:lang w:eastAsia="zh-CN"/>
        </w:rPr>
        <w:t>（文件后缀为：bfbs）</w:t>
      </w:r>
      <w:r>
        <w:rPr>
          <w:rFonts w:hint="eastAsia" w:ascii="宋体" w:hAnsi="宋体" w:cs="宋体"/>
          <w:color w:val="auto"/>
          <w:sz w:val="24"/>
          <w:highlight w:val="none"/>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《第一部分  招标公告》中二、申请人的资格要求：第一条中的“重大税收违法案件当事人名单”即为“重大税收违法失信主体”。</w:t>
      </w:r>
      <w:r>
        <w:rPr>
          <w:rFonts w:hint="eastAsia" w:cs="宋体" w:asciiTheme="minorEastAsia" w:hAnsiTheme="minorEastAsia" w:eastAsiaTheme="minorEastAsia"/>
          <w:color w:val="auto"/>
          <w:sz w:val="24"/>
          <w:highlight w:val="none"/>
          <w:lang w:val="en-US" w:eastAsia="zh-CN"/>
        </w:rPr>
        <w:br w:type="textWrapping"/>
      </w:r>
      <w:r>
        <w:rPr>
          <w:rFonts w:hint="eastAsia" w:cs="宋体" w:asciiTheme="minorEastAsia" w:hAnsiTheme="minorEastAsia" w:eastAsiaTheme="minorEastAsia"/>
          <w:color w:val="auto"/>
          <w:sz w:val="24"/>
          <w:highlight w:val="none"/>
          <w:lang w:val="en-US" w:eastAsia="zh-CN"/>
        </w:rPr>
        <w:t xml:space="preserve">    （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名    称：宁海县卫生健康局</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地    址：宁海县天广路12号</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项目联系人（询问）：邬老师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项目联系方式（询问）：0574-59973978</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质疑联系人：吕老师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质疑联系方式：0574-65578727</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名    称：浙江中基正采管理咨询有限公司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项目联系人（询问）：朱贤东</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质疑联系人：王近娜</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质疑联系方式：0574-87425570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名    称：宁海县政府采购管理办公室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地    址：宁海县跃龙街道桃源中路218号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传    真：0574-65265612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联系人 ：王老师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投诉电话：0574-65265668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rPr>
      </w:pP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cs="宋体"/>
          <w:color w:val="auto"/>
          <w:sz w:val="24"/>
          <w:highlight w:val="none"/>
          <w:lang w:eastAsia="zh-CN"/>
        </w:rPr>
        <w:t>“</w:t>
      </w:r>
      <w:r>
        <w:rPr>
          <w:rFonts w:hint="eastAsia" w:ascii="宋体" w:hAnsi="宋体" w:cs="宋体"/>
          <w:color w:val="auto"/>
          <w:sz w:val="24"/>
          <w:highlight w:val="none"/>
        </w:rPr>
        <w:t>95763</w:t>
      </w:r>
      <w:r>
        <w:rPr>
          <w:rFonts w:hint="eastAsia" w:ascii="宋体" w:hAnsi="宋体" w:cs="宋体"/>
          <w:color w:val="auto"/>
          <w:sz w:val="24"/>
          <w:highlight w:val="none"/>
          <w:lang w:eastAsia="zh-CN"/>
        </w:rPr>
        <w:t>”</w:t>
      </w:r>
      <w:r>
        <w:rPr>
          <w:rFonts w:hint="eastAsia" w:ascii="宋体" w:hAnsi="宋体" w:cs="宋体"/>
          <w:color w:val="auto"/>
          <w:sz w:val="24"/>
          <w:highlight w:val="none"/>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kinsoku/>
        <w:wordWrap/>
        <w:overflowPunct/>
        <w:topLinePunct w:val="0"/>
        <w:bidi w:val="0"/>
        <w:spacing w:line="360" w:lineRule="auto"/>
        <w:outlineLvl w:val="9"/>
        <w:rPr>
          <w:rFonts w:hAnsi="宋体" w:cs="宋体"/>
          <w:b/>
          <w:color w:val="auto"/>
          <w:sz w:val="36"/>
          <w:szCs w:val="20"/>
          <w:highlight w:val="none"/>
        </w:rPr>
      </w:pPr>
    </w:p>
    <w:p>
      <w:pPr>
        <w:tabs>
          <w:tab w:val="left" w:pos="432"/>
        </w:tabs>
        <w:kinsoku/>
        <w:wordWrap/>
        <w:overflowPunct/>
        <w:topLinePunct w:val="0"/>
        <w:bidi w:val="0"/>
        <w:outlineLvl w:val="9"/>
        <w:rPr>
          <w:rFonts w:ascii="宋体"/>
          <w:snapToGrid w:val="0"/>
          <w:color w:val="auto"/>
          <w:highlight w:val="none"/>
        </w:rPr>
      </w:pPr>
      <w:r>
        <w:rPr>
          <w:color w:val="auto"/>
          <w:highlight w:val="none"/>
        </w:rPr>
        <w:br w:type="page"/>
      </w:r>
    </w:p>
    <w:p>
      <w:pPr>
        <w:kinsoku/>
        <w:wordWrap/>
        <w:overflowPunct/>
        <w:topLinePunct w:val="0"/>
        <w:bidi w:val="0"/>
        <w:adjustRightInd/>
        <w:spacing w:line="360" w:lineRule="auto"/>
        <w:jc w:val="center"/>
        <w:outlineLvl w:val="0"/>
        <w:rPr>
          <w:rFonts w:ascii="宋体" w:hAnsi="宋体" w:cs="宋体"/>
          <w:b/>
          <w:color w:val="auto"/>
          <w:sz w:val="36"/>
          <w:szCs w:val="20"/>
          <w:highlight w:val="none"/>
        </w:rPr>
      </w:pPr>
      <w:bookmarkStart w:id="13" w:name="_Toc29691"/>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w:t>
      </w:r>
      <w:r>
        <w:rPr>
          <w:rFonts w:hint="eastAsia" w:ascii="宋体" w:hAnsi="宋体" w:cs="宋体"/>
          <w:b/>
          <w:color w:val="auto"/>
          <w:sz w:val="36"/>
          <w:szCs w:val="20"/>
          <w:highlight w:val="none"/>
          <w:lang w:eastAsia="zh-CN"/>
        </w:rPr>
        <w:t>供应商</w:t>
      </w:r>
      <w:r>
        <w:rPr>
          <w:rFonts w:hint="eastAsia" w:ascii="宋体" w:hAnsi="宋体" w:cs="宋体"/>
          <w:b/>
          <w:color w:val="auto"/>
          <w:sz w:val="36"/>
          <w:szCs w:val="20"/>
          <w:highlight w:val="none"/>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799"/>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事项</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项目属性</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lang w:val="en-US" w:eastAsia="zh-CN"/>
              </w:rPr>
              <w:t>服务类</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2024-2026年度宁海县城区公共环境除四害</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其他未列明行业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3</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分包</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default"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5</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6</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样品提供</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color w:val="auto"/>
                <w:sz w:val="24"/>
                <w:highlight w:val="none"/>
              </w:rPr>
            </w:pPr>
            <w:r>
              <w:rPr>
                <w:rFonts w:hint="eastAsia" w:ascii="宋体" w:hAnsi="宋体" w:cs="宋体"/>
                <w:color w:val="auto"/>
                <w:sz w:val="24"/>
                <w:highlight w:val="none"/>
              </w:rPr>
              <w:t>（7）制作、运输、安装和保管样品所发生的一切费用由</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7</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color w:val="auto"/>
                <w:sz w:val="24"/>
                <w:highlight w:val="none"/>
              </w:rPr>
            </w:pPr>
            <w:r>
              <w:rPr>
                <w:rFonts w:hint="eastAsia" w:ascii="宋体" w:hAnsi="宋体" w:cs="宋体"/>
                <w:b/>
                <w:color w:val="auto"/>
                <w:sz w:val="24"/>
                <w:highlight w:val="none"/>
              </w:rPr>
              <w:t>方案讲解演示</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（1）在评标时安排每个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进行方案讲解演示。每个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方式二：</w:t>
            </w:r>
            <w:r>
              <w:rPr>
                <w:rFonts w:hint="eastAsia" w:ascii="宋体" w:hAnsi="宋体" w:cs="宋体"/>
                <w:color w:val="auto"/>
                <w:kern w:val="0"/>
                <w:sz w:val="24"/>
                <w:highlight w:val="none"/>
                <w:lang w:val="en-US" w:eastAsia="zh-CN"/>
              </w:rPr>
              <w:t>评标</w:t>
            </w:r>
            <w:r>
              <w:rPr>
                <w:rFonts w:hint="eastAsia" w:ascii="宋体" w:hAnsi="宋体" w:cs="宋体"/>
                <w:color w:val="auto"/>
                <w:kern w:val="0"/>
                <w:sz w:val="24"/>
                <w:highlight w:val="none"/>
              </w:rPr>
              <w:t>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color w:val="auto"/>
                <w:kern w:val="0"/>
                <w:sz w:val="24"/>
                <w:highlight w:val="none"/>
                <w:lang w:val="zh-CN"/>
              </w:rPr>
            </w:pPr>
            <w:r>
              <w:rPr>
                <w:rFonts w:hint="eastAsia" w:ascii="宋体" w:hAnsi="宋体" w:cs="宋体"/>
                <w:color w:val="auto"/>
                <w:kern w:val="0"/>
                <w:sz w:val="24"/>
                <w:highlight w:val="none"/>
              </w:rPr>
              <w:t>注：因</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8</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应当提供的资格、资信证明文件</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9</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10</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报价要求</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en-US" w:eastAsia="zh-CN"/>
              </w:rPr>
              <w:t>本项目</w:t>
            </w:r>
            <w:r>
              <w:rPr>
                <w:rFonts w:hint="eastAsia" w:ascii="宋体" w:hAnsi="宋体" w:cs="宋体"/>
                <w:b/>
                <w:color w:val="auto"/>
                <w:kern w:val="0"/>
                <w:sz w:val="24"/>
                <w:highlight w:val="none"/>
                <w:lang w:val="zh-CN"/>
              </w:rPr>
              <w:t>采用</w:t>
            </w:r>
            <w:r>
              <w:rPr>
                <w:rFonts w:hint="eastAsia" w:ascii="宋体" w:hAnsi="宋体" w:cs="宋体"/>
                <w:b/>
                <w:color w:val="auto"/>
                <w:kern w:val="0"/>
                <w:sz w:val="24"/>
                <w:highlight w:val="none"/>
                <w:lang w:val="en-US" w:eastAsia="zh-CN"/>
              </w:rPr>
              <w:t>人民币</w:t>
            </w:r>
            <w:r>
              <w:rPr>
                <w:rFonts w:hint="eastAsia" w:ascii="宋体" w:hAnsi="宋体" w:cs="宋体"/>
                <w:b/>
                <w:color w:val="auto"/>
                <w:kern w:val="0"/>
                <w:sz w:val="24"/>
                <w:highlight w:val="none"/>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eastAsia="zh-CN"/>
              </w:rPr>
              <w:t>本项目投标报价须是完成本项目的所有费用，包括但不限于提供除四害服务、药物配备、药械、试剂费、包含器材维修费用、相应的消耗品、宣传（警示标签破损更换等）、服务响应、人员工资、考核奖金、利润、税金等一切与本次采购有关的所有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w:t>
            </w: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color w:val="auto"/>
                <w:sz w:val="24"/>
                <w:highlight w:val="none"/>
              </w:rPr>
            </w:pP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中小企业信用融资</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480" w:firstLineChars="200"/>
              <w:textAlignment w:val="auto"/>
              <w:outlineLvl w:val="9"/>
              <w:rPr>
                <w:rFonts w:hint="default"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5760" w:type="dxa"/>
            <w:vAlign w:val="center"/>
          </w:tcPr>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供应商可以准备U盘存储的电子备份投标文件1份，按政府采购云平台要求制作的电子备份投标文件，以用于异常情况处理。</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color w:val="auto"/>
                <w:kern w:val="28"/>
                <w:sz w:val="24"/>
                <w:szCs w:val="24"/>
                <w:highlight w:val="none"/>
                <w:u w:val="single"/>
                <w:lang w:val="en-US" w:eastAsia="zh-CN"/>
              </w:rPr>
              <w:t>宁海县公共资源交易中心（宁海县桃源街道金水东路5号五楼）</w:t>
            </w:r>
            <w:r>
              <w:rPr>
                <w:rFonts w:hint="eastAsia" w:cs="宋体" w:asciiTheme="minorEastAsia" w:hAnsiTheme="minorEastAsia" w:eastAsiaTheme="minorEastAsia"/>
                <w:color w:val="auto"/>
                <w:kern w:val="28"/>
                <w:sz w:val="24"/>
                <w:szCs w:val="24"/>
                <w:highlight w:val="none"/>
                <w:lang w:val="en-US" w:eastAsia="zh-CN"/>
              </w:rPr>
              <w:t>，逾期送达或未密封将予以拒收。</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color w:val="auto"/>
                <w:kern w:val="28"/>
                <w:sz w:val="24"/>
                <w:szCs w:val="24"/>
                <w:highlight w:val="none"/>
                <w:lang w:val="en-US" w:eastAsia="zh-CN"/>
              </w:rPr>
            </w:pPr>
            <w:r>
              <w:rPr>
                <w:rFonts w:hint="eastAsia" w:cs="宋体" w:asciiTheme="minorEastAsia" w:hAnsiTheme="minorEastAsia" w:eastAsiaTheme="minorEastAsia"/>
                <w:b/>
                <w:bCs/>
                <w:color w:val="auto"/>
                <w:kern w:val="28"/>
                <w:sz w:val="24"/>
                <w:szCs w:val="24"/>
                <w:highlight w:val="none"/>
                <w:lang w:val="en-US" w:eastAsia="zh-CN"/>
              </w:rPr>
              <w:t>供应商可采用邮寄（含快递）方式递交备份投标文件。</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拟在2024年04月09日（含）16:00前到件的邮寄地址为：宁波市鄞州区天童南路666号中基大厦19楼业务六部；</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收件人：朱贤东   联系方式：0574-87425380</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4"/>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color w:val="auto"/>
                <w:kern w:val="28"/>
                <w:sz w:val="24"/>
                <w:highlight w:val="none"/>
              </w:rPr>
            </w:pP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w:t>
            </w:r>
            <w:r>
              <w:rPr>
                <w:rFonts w:hint="eastAsia" w:cs="宋体" w:asciiTheme="minorEastAsia" w:hAnsiTheme="minorEastAsia" w:eastAsiaTheme="minorEastAsia"/>
                <w:b/>
                <w:color w:val="auto"/>
                <w:sz w:val="24"/>
                <w:szCs w:val="24"/>
                <w:highlight w:val="none"/>
                <w:lang w:eastAsia="zh-CN"/>
              </w:rPr>
              <w:t>投标文件</w:t>
            </w:r>
            <w:r>
              <w:rPr>
                <w:rFonts w:hint="eastAsia" w:cs="宋体" w:asciiTheme="minorEastAsia" w:hAnsiTheme="minorEastAsia" w:eastAsiaTheme="minorEastAsia"/>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13</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color w:val="auto"/>
                <w:sz w:val="24"/>
                <w:highlight w:val="none"/>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p>
        </w:tc>
        <w:tc>
          <w:tcPr>
            <w:tcW w:w="576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color w:val="auto"/>
                <w:kern w:val="2"/>
                <w:sz w:val="24"/>
                <w:szCs w:val="24"/>
                <w:highlight w:val="none"/>
                <w:lang w:val="en-US" w:eastAsia="zh-CN" w:bidi="ar-SA"/>
              </w:rPr>
            </w:pPr>
            <w:r>
              <w:rPr>
                <w:rFonts w:hint="eastAsia" w:cs="宋体" w:asciiTheme="minorEastAsia" w:hAnsiTheme="minorEastAsia" w:eastAsiaTheme="minorEastAsia"/>
                <w:color w:val="auto"/>
                <w:sz w:val="24"/>
                <w:highlight w:val="none"/>
                <w:lang w:val="en-US" w:eastAsia="zh-CN"/>
              </w:rPr>
              <w:t>14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color w:val="auto"/>
                <w:kern w:val="2"/>
                <w:sz w:val="24"/>
                <w:szCs w:val="24"/>
                <w:highlight w:val="none"/>
                <w:lang w:val="en-US" w:eastAsia="zh-CN" w:bidi="ar-SA"/>
              </w:rPr>
            </w:pPr>
            <w:r>
              <w:rPr>
                <w:rFonts w:hint="eastAsia" w:cs="宋体" w:asciiTheme="minorEastAsia" w:hAnsiTheme="minorEastAsia" w:eastAsiaTheme="minorEastAsia"/>
                <w:b/>
                <w:color w:val="auto"/>
                <w:sz w:val="24"/>
                <w:highlight w:val="none"/>
                <w:lang w:val="en-US" w:eastAsia="zh-CN"/>
              </w:rPr>
              <w:t>其他说明</w:t>
            </w:r>
          </w:p>
        </w:tc>
        <w:tc>
          <w:tcPr>
            <w:tcW w:w="5760" w:type="dxa"/>
            <w:vAlign w:val="center"/>
          </w:tcPr>
          <w:p>
            <w:pPr>
              <w:pStyle w:val="20"/>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招标代理服务费的收取标准：</w:t>
            </w:r>
            <w:r>
              <w:rPr>
                <w:rFonts w:hint="eastAsia" w:cs="Arial" w:asciiTheme="minorEastAsia" w:hAnsiTheme="minorEastAsia" w:eastAsiaTheme="minorEastAsia"/>
                <w:color w:val="auto"/>
                <w:kern w:val="0"/>
                <w:sz w:val="24"/>
                <w:highlight w:val="none"/>
                <w:lang w:val="en-US" w:eastAsia="zh-CN"/>
              </w:rPr>
              <w:t>参照原国家发改委发改办价格[2003]857号通知和原国家计委计价格[2002]1980号文件，</w:t>
            </w:r>
            <w:r>
              <w:rPr>
                <w:rFonts w:hint="eastAsia" w:cs="Arial" w:asciiTheme="minorEastAsia" w:hAnsiTheme="minorEastAsia" w:eastAsiaTheme="minorEastAsia"/>
                <w:color w:val="auto"/>
                <w:kern w:val="0"/>
                <w:sz w:val="24"/>
                <w:highlight w:val="none"/>
              </w:rPr>
              <w:t>根据</w:t>
            </w:r>
            <w:r>
              <w:rPr>
                <w:rFonts w:hint="eastAsia" w:cs="Arial" w:asciiTheme="minorEastAsia" w:hAnsiTheme="minorEastAsia" w:eastAsiaTheme="minorEastAsia"/>
                <w:color w:val="auto"/>
                <w:kern w:val="0"/>
                <w:sz w:val="24"/>
                <w:highlight w:val="none"/>
                <w:lang w:val="en-US" w:eastAsia="zh-CN"/>
              </w:rPr>
              <w:t>标项一、标项二的中</w:t>
            </w:r>
            <w:r>
              <w:rPr>
                <w:rFonts w:hint="eastAsia" w:cs="Arial" w:asciiTheme="minorEastAsia" w:hAnsiTheme="minorEastAsia" w:eastAsiaTheme="minorEastAsia"/>
                <w:color w:val="auto"/>
                <w:kern w:val="0"/>
                <w:sz w:val="24"/>
                <w:highlight w:val="none"/>
              </w:rPr>
              <w:t>标金额，向中标人</w:t>
            </w:r>
            <w:r>
              <w:rPr>
                <w:rFonts w:hint="eastAsia" w:cs="Arial" w:asciiTheme="minorEastAsia" w:hAnsiTheme="minorEastAsia" w:eastAsiaTheme="minorEastAsia"/>
                <w:color w:val="auto"/>
                <w:kern w:val="0"/>
                <w:sz w:val="24"/>
                <w:highlight w:val="none"/>
                <w:lang w:val="en-US" w:eastAsia="zh-CN"/>
              </w:rPr>
              <w:t>分别</w:t>
            </w:r>
            <w:r>
              <w:rPr>
                <w:rFonts w:hint="eastAsia" w:cs="Arial" w:asciiTheme="minorEastAsia" w:hAnsiTheme="minorEastAsia" w:eastAsiaTheme="minorEastAsia"/>
                <w:color w:val="auto"/>
                <w:kern w:val="0"/>
                <w:sz w:val="24"/>
                <w:highlight w:val="none"/>
              </w:rPr>
              <w:t>收取招标代理服务费（按差额定率累进法计算）。</w:t>
            </w:r>
          </w:p>
          <w:tbl>
            <w:tblPr>
              <w:tblStyle w:val="62"/>
              <w:tblW w:w="5478" w:type="dxa"/>
              <w:jc w:val="center"/>
              <w:tblLayout w:type="fixed"/>
              <w:tblCellMar>
                <w:top w:w="15" w:type="dxa"/>
                <w:left w:w="15" w:type="dxa"/>
                <w:bottom w:w="15" w:type="dxa"/>
                <w:right w:w="15" w:type="dxa"/>
              </w:tblCellMar>
            </w:tblPr>
            <w:tblGrid>
              <w:gridCol w:w="1572"/>
              <w:gridCol w:w="1359"/>
              <w:gridCol w:w="1288"/>
              <w:gridCol w:w="1259"/>
            </w:tblGrid>
            <w:tr>
              <w:tblPrEx>
                <w:tblCellMar>
                  <w:top w:w="15" w:type="dxa"/>
                  <w:left w:w="15" w:type="dxa"/>
                  <w:bottom w:w="15" w:type="dxa"/>
                  <w:right w:w="15" w:type="dxa"/>
                </w:tblCellMar>
              </w:tblPrEx>
              <w:trPr>
                <w:trHeight w:val="774" w:hRule="atLeast"/>
                <w:jc w:val="center"/>
              </w:trPr>
              <w:tc>
                <w:tcPr>
                  <w:tcW w:w="1572"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color w:val="auto"/>
                      <w:highlight w:val="none"/>
                    </w:rPr>
                  </w:pPr>
                  <w:r>
                    <w:rPr>
                      <w:rFonts w:hint="eastAsia" w:ascii="宋体" w:hAnsi="宋体" w:eastAsia="宋体" w:cs="宋体"/>
                      <w:color w:val="auto"/>
                      <w:highlight w:val="none"/>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金额（万元）</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货物招标</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服务招标</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工程招标</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100以下</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100-500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0.7%</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500-1000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0.45%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0.55%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1000-5000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0.35%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5000-10000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0.1%</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w:t>
                  </w:r>
                </w:p>
              </w:tc>
            </w:tr>
            <w:tr>
              <w:tblPrEx>
                <w:tblCellMar>
                  <w:top w:w="15" w:type="dxa"/>
                  <w:left w:w="15" w:type="dxa"/>
                  <w:bottom w:w="15" w:type="dxa"/>
                  <w:right w:w="15" w:type="dxa"/>
                </w:tblCellMar>
              </w:tblPrEx>
              <w:trPr>
                <w:trHeight w:val="473"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1亿～5亿</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开户银行： 宁波银行股份有限公司鄞州中心区支行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账    号： 30010122001229488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lang w:eastAsia="zh-CN"/>
              </w:rPr>
            </w:pPr>
            <w:r>
              <w:rPr>
                <w:rFonts w:hint="eastAsia" w:cs="Arial" w:asciiTheme="minorEastAsia" w:hAnsiTheme="minorEastAsia" w:eastAsiaTheme="minorEastAsia"/>
                <w:color w:val="auto"/>
                <w:kern w:val="0"/>
                <w:sz w:val="24"/>
                <w:highlight w:val="none"/>
              </w:rPr>
              <w:t xml:space="preserve">户    名： </w:t>
            </w:r>
            <w:r>
              <w:rPr>
                <w:rFonts w:hint="eastAsia" w:cs="Arial" w:asciiTheme="minorEastAsia" w:hAnsiTheme="minorEastAsia" w:eastAsiaTheme="minorEastAsia"/>
                <w:color w:val="auto"/>
                <w:kern w:val="0"/>
                <w:sz w:val="24"/>
                <w:highlight w:val="none"/>
                <w:lang w:eastAsia="zh-CN"/>
              </w:rPr>
              <w:t>浙江中基正采管理咨询有限公司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szCs w:val="24"/>
                <w:highlight w:val="none"/>
                <w:lang w:val="en-US" w:eastAsia="zh-CN" w:bidi="ar-SA"/>
              </w:rPr>
            </w:pPr>
            <w:r>
              <w:rPr>
                <w:rFonts w:hint="eastAsia" w:cs="Arial" w:asciiTheme="minorEastAsia" w:hAnsiTheme="minorEastAsia" w:eastAsiaTheme="minorEastAsia"/>
                <w:color w:val="auto"/>
                <w:kern w:val="0"/>
                <w:sz w:val="24"/>
                <w:highlight w:val="none"/>
                <w:lang w:val="en-US" w:eastAsia="zh-CN"/>
              </w:rPr>
              <w:t>注：中标人</w:t>
            </w:r>
            <w:r>
              <w:rPr>
                <w:rFonts w:hint="eastAsia" w:cs="Arial" w:asciiTheme="minorEastAsia" w:hAnsiTheme="minorEastAsia" w:eastAsiaTheme="minorEastAsia"/>
                <w:color w:val="auto"/>
                <w:kern w:val="0"/>
                <w:sz w:val="24"/>
                <w:highlight w:val="none"/>
              </w:rPr>
              <w:t>接到本公司通知后5个工作日内向本采购代理机构领取</w:t>
            </w:r>
            <w:r>
              <w:rPr>
                <w:rFonts w:hint="eastAsia" w:cs="Arial" w:asciiTheme="minorEastAsia" w:hAnsiTheme="minorEastAsia" w:eastAsiaTheme="minorEastAsia"/>
                <w:color w:val="auto"/>
                <w:kern w:val="0"/>
                <w:sz w:val="24"/>
                <w:highlight w:val="none"/>
                <w:lang w:val="en-US" w:eastAsia="zh-CN"/>
              </w:rPr>
              <w:t>中标</w:t>
            </w:r>
            <w:r>
              <w:rPr>
                <w:rFonts w:hint="eastAsia" w:cs="Arial" w:asciiTheme="minorEastAsia" w:hAnsiTheme="minorEastAsia" w:eastAsiaTheme="minorEastAsia"/>
                <w:color w:val="auto"/>
                <w:kern w:val="0"/>
                <w:sz w:val="24"/>
                <w:highlight w:val="none"/>
              </w:rPr>
              <w:t>通知书（根据</w:t>
            </w:r>
            <w:r>
              <w:rPr>
                <w:rFonts w:hint="eastAsia" w:cs="Arial" w:asciiTheme="minorEastAsia" w:hAnsiTheme="minorEastAsia" w:eastAsiaTheme="minorEastAsia"/>
                <w:color w:val="auto"/>
                <w:kern w:val="0"/>
                <w:sz w:val="24"/>
                <w:highlight w:val="none"/>
                <w:lang w:val="en-US" w:eastAsia="zh-CN"/>
              </w:rPr>
              <w:t>中标人</w:t>
            </w:r>
            <w:r>
              <w:rPr>
                <w:rFonts w:hint="eastAsia" w:cs="Arial" w:asciiTheme="minorEastAsia" w:hAnsiTheme="minorEastAsia" w:eastAsiaTheme="minorEastAsia"/>
                <w:color w:val="auto"/>
                <w:kern w:val="0"/>
                <w:sz w:val="24"/>
                <w:highlight w:val="none"/>
              </w:rPr>
              <w:t>需求可采用邮寄或到采购代理机构现场领取）。</w:t>
            </w:r>
          </w:p>
        </w:tc>
      </w:tr>
      <w:bookmarkEnd w:id="9"/>
    </w:tbl>
    <w:p>
      <w:pPr>
        <w:kinsoku/>
        <w:wordWrap/>
        <w:overflowPunct/>
        <w:topLinePunct w:val="0"/>
        <w:bidi w:val="0"/>
        <w:outlineLvl w:val="9"/>
        <w:rPr>
          <w:rFonts w:hint="eastAsia" w:ascii="宋体" w:hAnsi="宋体" w:cs="宋体"/>
          <w:b/>
          <w:color w:val="auto"/>
          <w:sz w:val="32"/>
          <w:szCs w:val="20"/>
          <w:highlight w:val="none"/>
        </w:rPr>
      </w:pPr>
      <w:bookmarkStart w:id="14" w:name="_Toc164416483"/>
      <w:bookmarkStart w:id="15" w:name="第三部分"/>
      <w:r>
        <w:rPr>
          <w:rFonts w:hint="eastAsia" w:ascii="宋体" w:hAnsi="宋体" w:cs="宋体"/>
          <w:b/>
          <w:color w:val="auto"/>
          <w:sz w:val="32"/>
          <w:szCs w:val="20"/>
          <w:highlight w:val="none"/>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2.7 “</w:t>
      </w:r>
      <w:r>
        <w:rPr>
          <w:rFonts w:hint="eastAsia" w:ascii="宋体" w:hAnsi="宋体" w:cs="宋体"/>
          <w:color w:val="auto"/>
          <w:sz w:val="24"/>
          <w:highlight w:val="none"/>
          <w:lang w:eastAsia="zh-CN"/>
        </w:rPr>
        <w:t>★</w:t>
      </w:r>
      <w:r>
        <w:rPr>
          <w:rFonts w:hint="eastAsia" w:ascii="宋体" w:hAnsi="宋体" w:cs="宋体"/>
          <w:color w:val="auto"/>
          <w:sz w:val="24"/>
          <w:highlight w:val="none"/>
        </w:rPr>
        <w:t>”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须按招标文件要求提供相关产品认证证书。</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采购人拟采购的产品属于政府强制采购的节能产品品目清单范围的，</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color w:val="auto"/>
          <w:sz w:val="24"/>
          <w:highlight w:val="none"/>
        </w:rPr>
        <w:t>联合协议或者分包意向协议约定小微企业的合同份额占到合同总金额30%以上的</w:t>
      </w:r>
      <w:bookmarkEnd w:id="17"/>
      <w:r>
        <w:rPr>
          <w:rFonts w:hint="eastAsia" w:ascii="宋体" w:hAnsi="宋体" w:cs="宋体"/>
          <w:color w:val="auto"/>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3.3.6可享受中小企业扶持政策的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应按照招标文件格式要求提供《中小企业声明函》，</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eastAsia="宋体" w:cs="宋体"/>
          <w:b/>
          <w:color w:val="auto"/>
          <w:sz w:val="24"/>
          <w:highlight w:val="none"/>
        </w:rPr>
        <w:t>4. 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lang w:val="zh-CN"/>
        </w:rPr>
      </w:pPr>
      <w:r>
        <w:rPr>
          <w:rFonts w:hint="eastAsia"/>
          <w:color w:val="auto"/>
          <w:highlight w:val="none"/>
          <w:lang w:val="zh-CN"/>
        </w:rPr>
        <w:t>4.1在线询问、质疑、投诉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6"/>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质疑函范本及制作说明详见附件2。</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4.3.4对同一采购程序环节的质疑，供应商须在法定质疑期内一次性提出。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color w:val="auto"/>
          <w:highlight w:val="none"/>
          <w:lang w:val="zh-CN"/>
        </w:rPr>
      </w:pPr>
      <w:r>
        <w:rPr>
          <w:rFonts w:hint="eastAsia"/>
          <w:color w:val="auto"/>
          <w:highlight w:val="none"/>
          <w:lang w:val="zh-CN"/>
        </w:rPr>
        <w:t>4.4供应商投诉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4.4.3供应商投诉应当有明确的请求和必要的证明材料。</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4.4.4以联合体形式参加政府采购活动的，其投诉应当由组成联合体的所有供应商共同提出。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color w:val="auto"/>
          <w:highlight w:val="none"/>
        </w:rPr>
      </w:pPr>
      <w:r>
        <w:rPr>
          <w:rFonts w:hint="eastAsia"/>
          <w:color w:val="auto"/>
          <w:highlight w:val="none"/>
        </w:rPr>
        <w:t>4.4.5投诉材料</w:t>
      </w:r>
      <w:r>
        <w:rPr>
          <w:rFonts w:hint="eastAsia" w:ascii="宋体" w:hAnsi="Courier New"/>
          <w:color w:val="auto"/>
          <w:sz w:val="24"/>
          <w:szCs w:val="24"/>
          <w:highlight w:val="none"/>
        </w:rPr>
        <w:t>寄送</w:t>
      </w:r>
      <w:r>
        <w:rPr>
          <w:rFonts w:hint="eastAsia"/>
          <w:color w:val="auto"/>
          <w:sz w:val="24"/>
          <w:szCs w:val="24"/>
          <w:highlight w:val="none"/>
          <w:lang w:val="en-US" w:eastAsia="zh-CN"/>
        </w:rPr>
        <w:t>相关信息详见《第一部分  招标公告》。</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5.1.1招标公告；</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5.1.2</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5.1.3采购需求；</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5.1.4评标办法；</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6.招标文件的澄清、修改</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6.1已获取招标文件的潜在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6.2</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采购人组织潜在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现场考察或者召开开标前答疑会的，潜在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按第二部分</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须知前附表的规定参加现场考察或者开标前答疑会。</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highlight w:val="none"/>
        </w:rPr>
      </w:pPr>
      <w:r>
        <w:rPr>
          <w:rFonts w:hint="eastAsia" w:hAnsi="宋体" w:cs="宋体"/>
          <w:color w:val="auto"/>
          <w:sz w:val="24"/>
          <w:highlight w:val="none"/>
        </w:rPr>
        <w:t>本项目不需缴纳投标保证金。</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投标文件及</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与采购有关的来往通知、函件和文件均应使用中文。</w:t>
      </w:r>
    </w:p>
    <w:p>
      <w:pPr>
        <w:pStyle w:val="34"/>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rPr>
      </w:pPr>
      <w:r>
        <w:rPr>
          <w:rFonts w:hint="eastAsia" w:ascii="宋体" w:hAnsi="宋体" w:cs="宋体"/>
          <w:b/>
          <w:bCs/>
          <w:color w:val="auto"/>
          <w:sz w:val="24"/>
          <w:highlight w:val="none"/>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8" w:name="_Hlk101259339"/>
      <w:r>
        <w:rPr>
          <w:rFonts w:hint="eastAsia" w:ascii="宋体" w:hAnsi="宋体" w:cs="宋体"/>
          <w:snapToGrid w:val="0"/>
          <w:color w:val="auto"/>
          <w:kern w:val="28"/>
          <w:sz w:val="24"/>
          <w:szCs w:val="20"/>
          <w:highlight w:val="none"/>
        </w:rPr>
        <w:t>联合协议</w:t>
      </w:r>
      <w:bookmarkEnd w:id="18"/>
      <w:r>
        <w:rPr>
          <w:rFonts w:hint="eastAsia" w:ascii="宋体" w:hAnsi="宋体" w:cs="宋体"/>
          <w:snapToGrid w:val="0"/>
          <w:color w:val="auto"/>
          <w:kern w:val="28"/>
          <w:sz w:val="24"/>
          <w:szCs w:val="20"/>
          <w:highlight w:val="none"/>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lang w:val="zh-CN"/>
        </w:rPr>
      </w:pPr>
      <w:r>
        <w:rPr>
          <w:rFonts w:hint="eastAsia" w:ascii="宋体" w:hAnsi="宋体" w:cs="宋体"/>
          <w:b/>
          <w:bCs/>
          <w:color w:val="auto"/>
          <w:sz w:val="24"/>
          <w:highlight w:val="none"/>
          <w:lang w:val="zh-CN"/>
        </w:rPr>
        <w:t>11.</w:t>
      </w:r>
      <w:r>
        <w:rPr>
          <w:rFonts w:hint="eastAsia" w:ascii="宋体" w:hAnsi="宋体" w:cs="宋体"/>
          <w:b/>
          <w:bCs/>
          <w:color w:val="auto"/>
          <w:sz w:val="24"/>
          <w:highlight w:val="none"/>
        </w:rPr>
        <w:t>2商务技术</w:t>
      </w:r>
      <w:r>
        <w:rPr>
          <w:rFonts w:hint="eastAsia" w:ascii="宋体" w:hAnsi="宋体" w:cs="宋体"/>
          <w:b/>
          <w:bCs/>
          <w:color w:val="auto"/>
          <w:sz w:val="24"/>
          <w:highlight w:val="none"/>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商务技术偏离表；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u w:val="single"/>
          <w:lang w:val="zh-CN"/>
        </w:rPr>
      </w:pPr>
      <w:r>
        <w:rPr>
          <w:rFonts w:hint="eastAsia" w:ascii="宋体" w:hAnsi="宋体" w:cs="宋体"/>
          <w:b/>
          <w:bCs/>
          <w:color w:val="auto"/>
          <w:kern w:val="0"/>
          <w:sz w:val="24"/>
          <w:highlight w:val="none"/>
          <w:lang w:val="zh-CN"/>
        </w:rPr>
        <w:t>11.</w:t>
      </w:r>
      <w:r>
        <w:rPr>
          <w:rFonts w:hint="eastAsia" w:ascii="宋体" w:hAnsi="宋体" w:cs="宋体"/>
          <w:b/>
          <w:bCs/>
          <w:color w:val="auto"/>
          <w:kern w:val="0"/>
          <w:sz w:val="24"/>
          <w:highlight w:val="none"/>
        </w:rPr>
        <w:t>3</w:t>
      </w:r>
      <w:r>
        <w:rPr>
          <w:rFonts w:hint="eastAsia" w:ascii="宋体" w:hAnsi="宋体" w:cs="宋体"/>
          <w:b/>
          <w:bCs/>
          <w:color w:val="auto"/>
          <w:sz w:val="24"/>
          <w:highlight w:val="none"/>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color w:val="auto"/>
          <w:sz w:val="24"/>
          <w:szCs w:val="21"/>
          <w:highlight w:val="none"/>
        </w:rPr>
      </w:pP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提供虚假材料投标的，投标无效。</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lang w:eastAsia="zh-CN"/>
        </w:rPr>
        <w:t>★供应商</w:t>
      </w:r>
      <w:r>
        <w:rPr>
          <w:rFonts w:hint="eastAsia" w:ascii="宋体" w:hAnsi="宋体" w:cs="宋体"/>
          <w:b/>
          <w:color w:val="auto"/>
          <w:highlight w:val="none"/>
        </w:rPr>
        <w:t>的投标文件未按照招标文件要求签署、盖章的，其投标无效</w:t>
      </w:r>
      <w:r>
        <w:rPr>
          <w:rFonts w:hint="eastAsia" w:ascii="宋体" w:hAnsi="宋体" w:cs="宋体"/>
          <w:color w:val="auto"/>
          <w:szCs w:val="24"/>
          <w:highlight w:val="none"/>
        </w:rPr>
        <w:t>。</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13.2为确保网上操作合法、有效和安全，</w:t>
      </w:r>
      <w:r>
        <w:rPr>
          <w:rFonts w:hint="eastAsia" w:ascii="宋体" w:hAnsi="宋体" w:cs="宋体"/>
          <w:color w:val="auto"/>
          <w:highlight w:val="none"/>
          <w:lang w:eastAsia="zh-CN"/>
        </w:rPr>
        <w:t>供应商</w:t>
      </w:r>
      <w:r>
        <w:rPr>
          <w:rFonts w:hint="eastAsia" w:ascii="宋体" w:hAnsi="宋体" w:cs="宋体"/>
          <w:color w:val="auto"/>
          <w:highlight w:val="none"/>
        </w:rPr>
        <w:t>应当在投标截止时间前完成在“政府采购云平台”的身份认证，确保在电子投标过程中能够对相关数据电文进行加密和使用电子签名。</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w:t>
      </w:r>
      <w:r>
        <w:rPr>
          <w:rFonts w:hint="eastAsia" w:ascii="宋体" w:hAnsi="宋体" w:cs="宋体"/>
          <w:color w:val="auto"/>
          <w:szCs w:val="24"/>
          <w:highlight w:val="none"/>
          <w:lang w:eastAsia="zh-CN"/>
        </w:rPr>
        <w:t>供应商</w:t>
      </w:r>
      <w:r>
        <w:rPr>
          <w:rFonts w:hint="eastAsia" w:ascii="宋体" w:hAnsi="宋体" w:cs="宋体"/>
          <w:color w:val="auto"/>
          <w:szCs w:val="24"/>
          <w:highlight w:val="none"/>
        </w:rPr>
        <w:t>以前在投标截止期方面的全部权利、责任和义务，将适用于延长至新的投标截止期。</w:t>
      </w:r>
    </w:p>
    <w:p>
      <w:pPr>
        <w:pStyle w:val="34"/>
        <w:pageBreakBefore w:val="0"/>
        <w:shd w:val="clear"/>
        <w:kinsoku/>
        <w:wordWrap/>
        <w:overflowPunct/>
        <w:topLinePunct w:val="0"/>
        <w:bidi w:val="0"/>
        <w:spacing w:beforeAutospacing="0" w:line="348" w:lineRule="auto"/>
        <w:textAlignment w:val="auto"/>
        <w:outlineLvl w:val="9"/>
        <w:rPr>
          <w:rFonts w:hint="eastAsia" w:hAnsi="宋体" w:eastAsia="宋体" w:cs="宋体"/>
          <w:b/>
          <w:color w:val="auto"/>
          <w:sz w:val="24"/>
          <w:szCs w:val="24"/>
          <w:highlight w:val="none"/>
          <w:lang w:eastAsia="zh-CN"/>
        </w:rPr>
      </w:pPr>
      <w:r>
        <w:rPr>
          <w:rFonts w:hint="eastAsia" w:hAnsi="宋体" w:cs="宋体"/>
          <w:b/>
          <w:color w:val="auto"/>
          <w:sz w:val="24"/>
          <w:szCs w:val="24"/>
          <w:highlight w:val="none"/>
        </w:rPr>
        <w:t>15.备份投标文件</w:t>
      </w:r>
      <w:r>
        <w:rPr>
          <w:rFonts w:hint="eastAsia" w:hAnsi="宋体" w:cs="宋体"/>
          <w:b/>
          <w:color w:val="auto"/>
          <w:sz w:val="24"/>
          <w:szCs w:val="24"/>
          <w:highlight w:val="none"/>
          <w:lang w:eastAsia="zh-CN"/>
        </w:rPr>
        <w:t>（文件后缀为：bfbs）</w:t>
      </w:r>
    </w:p>
    <w:p>
      <w:pPr>
        <w:pStyle w:val="34"/>
        <w:pageBreakBefore w:val="0"/>
        <w:shd w:val="clear"/>
        <w:kinsoku/>
        <w:wordWrap/>
        <w:overflowPunct/>
        <w:topLinePunct w:val="0"/>
        <w:bidi w:val="0"/>
        <w:spacing w:beforeAutospacing="0" w:line="348" w:lineRule="auto"/>
        <w:ind w:firstLine="360" w:firstLineChars="150"/>
        <w:textAlignment w:val="auto"/>
        <w:outlineLvl w:val="9"/>
        <w:rPr>
          <w:rFonts w:hAnsi="宋体" w:cs="宋体"/>
          <w:b/>
          <w:color w:val="auto"/>
          <w:sz w:val="24"/>
          <w:szCs w:val="24"/>
          <w:highlight w:val="none"/>
        </w:rPr>
      </w:pPr>
      <w:r>
        <w:rPr>
          <w:rFonts w:hint="eastAsia" w:hAnsi="宋体" w:cs="宋体"/>
          <w:color w:val="auto"/>
          <w:sz w:val="24"/>
          <w:szCs w:val="24"/>
          <w:highlight w:val="none"/>
        </w:rPr>
        <w:t>15.1</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提交备份投标文件。</w:t>
      </w:r>
    </w:p>
    <w:p>
      <w:pPr>
        <w:pStyle w:val="34"/>
        <w:pageBreakBefore w:val="0"/>
        <w:shd w:val="clear"/>
        <w:kinsoku/>
        <w:wordWrap/>
        <w:overflowPunct/>
        <w:topLinePunct w:val="0"/>
        <w:bidi w:val="0"/>
        <w:spacing w:beforeAutospacing="0" w:line="348" w:lineRule="auto"/>
        <w:ind w:firstLine="480" w:firstLineChars="200"/>
        <w:textAlignment w:val="auto"/>
        <w:outlineLvl w:val="9"/>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lang w:val="en-US" w:eastAsia="zh-CN"/>
        </w:rPr>
        <w:t>U盘</w:t>
      </w:r>
      <w:r>
        <w:rPr>
          <w:rFonts w:hint="eastAsia" w:hAnsi="宋体" w:cs="宋体"/>
          <w:color w:val="auto"/>
          <w:sz w:val="24"/>
          <w:szCs w:val="24"/>
          <w:highlight w:val="none"/>
        </w:rPr>
        <w:t>中。备份投标文件应当密封包装并在包装上加盖公章并注明投标项目名称，</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15.3直接提交备份投标文件的，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15.4以邮政快递方式递交备份投标文件的，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w:t>
      </w:r>
      <w:r>
        <w:rPr>
          <w:rFonts w:hint="eastAsia" w:hAnsi="宋体" w:cs="宋体"/>
          <w:snapToGrid/>
          <w:color w:val="auto"/>
          <w:sz w:val="24"/>
          <w:szCs w:val="24"/>
          <w:highlight w:val="none"/>
          <w:lang w:eastAsia="zh-CN"/>
        </w:rPr>
        <w:t>供应商</w:t>
      </w:r>
      <w:r>
        <w:rPr>
          <w:rFonts w:hint="eastAsia" w:hAnsi="宋体" w:cs="宋体"/>
          <w:snapToGrid/>
          <w:color w:val="auto"/>
          <w:sz w:val="24"/>
          <w:szCs w:val="24"/>
          <w:highlight w:val="none"/>
        </w:rPr>
        <w:t>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自行负责。</w:t>
      </w:r>
    </w:p>
    <w:p>
      <w:pPr>
        <w:pStyle w:val="34"/>
        <w:pageBreakBefore w:val="0"/>
        <w:shd w:val="clear"/>
        <w:kinsoku/>
        <w:wordWrap/>
        <w:overflowPunct/>
        <w:topLinePunct w:val="0"/>
        <w:bidi w:val="0"/>
        <w:spacing w:beforeAutospacing="0" w:line="348" w:lineRule="auto"/>
        <w:ind w:firstLine="479" w:firstLineChars="199"/>
        <w:textAlignment w:val="auto"/>
        <w:outlineLvl w:val="9"/>
        <w:rPr>
          <w:rFonts w:hAnsi="宋体" w:cs="宋体"/>
          <w:b/>
          <w:color w:val="auto"/>
          <w:sz w:val="24"/>
          <w:szCs w:val="24"/>
          <w:highlight w:val="none"/>
        </w:rPr>
      </w:pPr>
      <w:r>
        <w:rPr>
          <w:rFonts w:hint="eastAsia" w:hAnsi="宋体" w:cs="宋体"/>
          <w:b/>
          <w:color w:val="auto"/>
          <w:sz w:val="24"/>
          <w:szCs w:val="24"/>
          <w:highlight w:val="none"/>
        </w:rPr>
        <w:t>15.5</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仅提交备份投标文件，未在电子交易平台传输递交投标文件的，投标无效。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pageBreakBefore w:val="0"/>
        <w:shd w:val="clear"/>
        <w:kinsoku/>
        <w:wordWrap/>
        <w:overflowPunct/>
        <w:topLinePunct w:val="0"/>
        <w:bidi w:val="0"/>
        <w:spacing w:beforeAutospacing="0" w:line="348" w:lineRule="auto"/>
        <w:ind w:firstLine="360" w:firstLineChars="150"/>
        <w:textAlignment w:val="auto"/>
        <w:outlineLvl w:val="9"/>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color w:val="auto"/>
          <w:sz w:val="24"/>
          <w:szCs w:val="20"/>
          <w:highlight w:val="none"/>
          <w:lang w:eastAsia="zh-CN"/>
        </w:rPr>
        <w:t>★</w:t>
      </w:r>
      <w:r>
        <w:rPr>
          <w:rFonts w:hint="eastAsia" w:ascii="宋体" w:hAnsi="宋体" w:cs="宋体"/>
          <w:b/>
          <w:color w:val="auto"/>
          <w:sz w:val="24"/>
          <w:szCs w:val="20"/>
          <w:highlight w:val="none"/>
          <w:lang w:eastAsia="zh-CN"/>
        </w:rPr>
        <w:t>供应商</w:t>
      </w:r>
      <w:r>
        <w:rPr>
          <w:rFonts w:hint="eastAsia" w:ascii="宋体" w:hAnsi="宋体" w:cs="宋体"/>
          <w:b/>
          <w:color w:val="auto"/>
          <w:sz w:val="24"/>
          <w:szCs w:val="20"/>
          <w:highlight w:val="none"/>
        </w:rPr>
        <w:t>的投标文件中承</w:t>
      </w:r>
      <w:r>
        <w:rPr>
          <w:rFonts w:hint="eastAsia" w:ascii="宋体" w:hAnsi="宋体" w:cs="宋体"/>
          <w:b/>
          <w:color w:val="auto"/>
          <w:sz w:val="24"/>
          <w:szCs w:val="21"/>
          <w:highlight w:val="none"/>
        </w:rPr>
        <w:t>诺的投标有效期少于招标文件中载明的投标有效期的，投标无效。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w:t>
      </w:r>
      <w:r>
        <w:rPr>
          <w:rFonts w:hint="eastAsia" w:ascii="宋体" w:hAnsi="宋体" w:cs="宋体"/>
          <w:color w:val="auto"/>
          <w:highlight w:val="none"/>
          <w:lang w:eastAsia="zh-CN"/>
        </w:rPr>
        <w:t>供应商</w:t>
      </w:r>
      <w:r>
        <w:rPr>
          <w:rFonts w:hint="eastAsia" w:ascii="宋体" w:hAnsi="宋体" w:cs="宋体"/>
          <w:color w:val="auto"/>
          <w:highlight w:val="none"/>
        </w:rPr>
        <w:t>延长投标有效期。</w:t>
      </w:r>
      <w:r>
        <w:rPr>
          <w:rFonts w:hint="eastAsia" w:ascii="宋体" w:hAnsi="宋体" w:cs="宋体"/>
          <w:color w:val="auto"/>
          <w:highlight w:val="none"/>
          <w:lang w:eastAsia="zh-CN"/>
        </w:rPr>
        <w:t>供应商</w:t>
      </w:r>
      <w:r>
        <w:rPr>
          <w:rFonts w:hint="eastAsia" w:ascii="宋体" w:hAnsi="宋体" w:cs="宋体"/>
          <w:color w:val="auto"/>
          <w:highlight w:val="none"/>
        </w:rPr>
        <w:t>同意延长的，不得要求或被允许修改其投标文件，</w:t>
      </w:r>
      <w:r>
        <w:rPr>
          <w:rFonts w:hint="eastAsia" w:ascii="宋体" w:hAnsi="宋体" w:cs="宋体"/>
          <w:color w:val="auto"/>
          <w:highlight w:val="none"/>
          <w:lang w:eastAsia="zh-CN"/>
        </w:rPr>
        <w:t>供应商</w:t>
      </w:r>
      <w:r>
        <w:rPr>
          <w:rFonts w:hint="eastAsia" w:ascii="宋体" w:hAnsi="宋体" w:cs="宋体"/>
          <w:color w:val="auto"/>
          <w:highlight w:val="none"/>
        </w:rPr>
        <w:t>拒绝延长的，其投标无效。</w:t>
      </w:r>
    </w:p>
    <w:p>
      <w:pPr>
        <w:pStyle w:val="132"/>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均应当准时在线参加。</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不足3家的，不得开标。</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18.2.1具体开标程序：</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第一阶段：</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（2）在政府采购云平台开启已解密供应商的“资格文件、商务技术文件”，并做开标记录；</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第二阶段：</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（1）在政府采购云平台宣告第一阶段评审无效供应商名单及理由；</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（2）公布经第一阶段评审符合招标文件要求的供应商的商务技术得分情况；</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（3）在政府采购云平台开启除第一阶段无效标外的供应商的“报价文件”，并做开标记录；</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（4）在政府采购云平台公布评审结果。</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（5）开标会议结束。</w:t>
      </w:r>
      <w:r>
        <w:rPr>
          <w:rFonts w:hint="eastAsia" w:ascii="宋体" w:hAnsi="宋体" w:cs="宋体"/>
          <w:color w:val="auto"/>
          <w:sz w:val="24"/>
          <w:highlight w:val="none"/>
        </w:rPr>
        <w:t>　</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的资格进行审查。</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lang w:eastAsia="zh-CN"/>
        </w:rPr>
        <w:t>供应商</w:t>
      </w:r>
      <w:r>
        <w:rPr>
          <w:rFonts w:hint="eastAsia" w:ascii="宋体" w:hAnsi="宋体" w:cs="宋体"/>
          <w:color w:val="auto"/>
          <w:highlight w:val="none"/>
        </w:rPr>
        <w:t>不具备招标文件中规定的资格要求，其投标无效。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w:t>
      </w:r>
      <w:r>
        <w:rPr>
          <w:rFonts w:hint="eastAsia" w:ascii="宋体" w:hAnsi="宋体" w:cs="宋体"/>
          <w:color w:val="auto"/>
          <w:highlight w:val="none"/>
          <w:lang w:eastAsia="zh-CN"/>
        </w:rPr>
        <w:t>供应商</w:t>
      </w:r>
      <w:r>
        <w:rPr>
          <w:rFonts w:hint="eastAsia" w:ascii="宋体" w:hAnsi="宋体" w:cs="宋体"/>
          <w:color w:val="auto"/>
          <w:highlight w:val="none"/>
        </w:rPr>
        <w:t>，采购人或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w:t>
      </w:r>
      <w:r>
        <w:rPr>
          <w:rFonts w:hint="eastAsia" w:ascii="宋体" w:hAnsi="宋体" w:cs="宋体"/>
          <w:color w:val="auto"/>
          <w:highlight w:val="none"/>
          <w:lang w:eastAsia="zh-CN"/>
        </w:rPr>
        <w:t>供应商</w:t>
      </w:r>
      <w:r>
        <w:rPr>
          <w:rFonts w:hint="eastAsia" w:ascii="宋体" w:hAnsi="宋体" w:cs="宋体"/>
          <w:color w:val="auto"/>
          <w:highlight w:val="none"/>
        </w:rPr>
        <w:t>不足3家的，不再评标。</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hint="eastAsia" w:ascii="宋体" w:hAnsi="宋体" w:cs="宋体"/>
          <w:b/>
          <w:color w:val="auto"/>
          <w:szCs w:val="24"/>
          <w:highlight w:val="none"/>
        </w:rPr>
      </w:pP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接受资格审查时的信用记录。</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的信用记录、查询结果经确认后将与</w:t>
      </w:r>
      <w:r>
        <w:rPr>
          <w:rFonts w:hint="eastAsia" w:ascii="宋体" w:hAnsi="宋体" w:cs="宋体"/>
          <w:color w:val="auto"/>
          <w:kern w:val="0"/>
          <w:szCs w:val="24"/>
          <w:highlight w:val="none"/>
          <w:lang w:eastAsia="zh-CN"/>
        </w:rPr>
        <w:t>招标文件</w:t>
      </w:r>
      <w:r>
        <w:rPr>
          <w:rFonts w:hint="eastAsia" w:ascii="宋体" w:hAnsi="宋体" w:cs="宋体"/>
          <w:color w:val="auto"/>
          <w:kern w:val="0"/>
          <w:szCs w:val="24"/>
          <w:highlight w:val="none"/>
        </w:rPr>
        <w:t>一起存档。</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snapToGrid w:val="0"/>
          <w:color w:val="auto"/>
          <w:kern w:val="28"/>
          <w:sz w:val="24"/>
          <w:szCs w:val="20"/>
          <w:highlight w:val="none"/>
        </w:rPr>
        <w:t>（重大税收违法失信主体）</w:t>
      </w:r>
      <w:r>
        <w:rPr>
          <w:rFonts w:hint="eastAsia" w:ascii="宋体" w:hAnsi="宋体" w:cs="宋体"/>
          <w:color w:val="auto"/>
          <w:kern w:val="0"/>
          <w:szCs w:val="24"/>
          <w:highlight w:val="none"/>
        </w:rPr>
        <w:t>、政府采购严重违法失信行为记录名单的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将被拒绝参与政府采购活动。</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color w:val="auto"/>
          <w:sz w:val="24"/>
          <w:highlight w:val="none"/>
        </w:rPr>
      </w:pPr>
      <w:bookmarkStart w:id="19"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对招标文件的响应情况。对实质上响应招标文件的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，按照评审因素的量化指标排出推荐中标的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的先后顺序，并按顺序提出授标建议。</w:t>
      </w:r>
      <w:r>
        <w:rPr>
          <w:rFonts w:hint="eastAsia" w:ascii="宋体" w:hAnsi="宋体" w:cs="宋体"/>
          <w:b/>
          <w:color w:val="auto"/>
          <w:sz w:val="24"/>
          <w:highlight w:val="none"/>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22. 确定中标供应商</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color w:val="auto"/>
          <w:szCs w:val="24"/>
          <w:highlight w:val="none"/>
          <w:lang w:val="en-US" w:eastAsia="zh-CN"/>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color w:val="auto"/>
          <w:kern w:val="0"/>
          <w:sz w:val="24"/>
          <w:highlight w:val="none"/>
          <w:lang w:eastAsia="zh-CN"/>
        </w:rPr>
        <w:t>招标文件</w:t>
      </w:r>
      <w:r>
        <w:rPr>
          <w:rFonts w:hint="eastAsia" w:ascii="宋体" w:hAnsi="宋体" w:cs="宋体"/>
          <w:color w:val="auto"/>
          <w:kern w:val="0"/>
          <w:sz w:val="24"/>
          <w:highlight w:val="none"/>
        </w:rPr>
        <w:t>确定的事项签订政府采购合同。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2"/>
          <w:sz w:val="24"/>
          <w:highlight w:val="none"/>
        </w:rPr>
        <w:t>鼓励根据项目特点、供应商诚信等因素免收履约保证金或降低缴纳比例。</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color w:val="auto"/>
          <w:highlight w:val="none"/>
        </w:rPr>
      </w:pPr>
      <w:r>
        <w:rPr>
          <w:rFonts w:ascii="宋体" w:hAnsi="宋体" w:eastAsia="宋体" w:cs="Times New Roman"/>
          <w:b/>
          <w:bCs/>
          <w:color w:val="auto"/>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color w:val="auto"/>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color w:val="auto"/>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color w:val="auto"/>
          <w:highlight w:val="none"/>
        </w:rPr>
      </w:pPr>
      <w:r>
        <w:rPr>
          <w:rFonts w:ascii="宋体" w:hAnsi="宋体" w:cs="宋体"/>
          <w:b/>
          <w:bCs/>
          <w:color w:val="auto"/>
          <w:kern w:val="2"/>
          <w:sz w:val="24"/>
          <w:szCs w:val="20"/>
          <w:highlight w:val="none"/>
        </w:rPr>
        <w:t>2</w:t>
      </w:r>
      <w:r>
        <w:rPr>
          <w:rFonts w:ascii="宋体" w:hAnsi="宋体" w:cs="宋体"/>
          <w:b/>
          <w:bCs/>
          <w:color w:val="auto"/>
          <w:kern w:val="2"/>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hint="eastAsia" w:ascii="宋体" w:hAnsi="宋体" w:cs="宋体"/>
          <w:b/>
          <w:color w:val="auto"/>
          <w:sz w:val="32"/>
          <w:highlight w:val="none"/>
        </w:rPr>
      </w:pP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color w:val="auto"/>
          <w:sz w:val="32"/>
          <w:highlight w:val="none"/>
        </w:rPr>
      </w:pPr>
      <w:r>
        <w:rPr>
          <w:rFonts w:hint="eastAsia" w:ascii="宋体" w:hAnsi="宋体" w:cs="宋体"/>
          <w:b/>
          <w:color w:val="auto"/>
          <w:sz w:val="32"/>
          <w:highlight w:val="none"/>
        </w:rPr>
        <w:t>九、验收</w:t>
      </w:r>
    </w:p>
    <w:p>
      <w:pPr>
        <w:pStyle w:val="26"/>
        <w:pageBreakBefore w:val="0"/>
        <w:shd w:val="clear"/>
        <w:kinsoku/>
        <w:wordWrap/>
        <w:overflowPunct/>
        <w:topLinePunct w:val="0"/>
        <w:bidi w:val="0"/>
        <w:spacing w:beforeAutospacing="0" w:line="348" w:lineRule="auto"/>
        <w:ind w:firstLine="0" w:firstLineChars="0"/>
        <w:textAlignment w:val="auto"/>
        <w:outlineLvl w:val="9"/>
        <w:rPr>
          <w:rFonts w:cs="宋体"/>
          <w:b/>
          <w:color w:val="auto"/>
          <w:highlight w:val="none"/>
        </w:rPr>
      </w:pPr>
      <w:r>
        <w:rPr>
          <w:rFonts w:hint="eastAsia" w:cs="宋体"/>
          <w:b/>
          <w:color w:val="auto"/>
          <w:highlight w:val="none"/>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或者第三方机构参与验收。参与验收的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9"/>
      <w:bookmarkStart w:id="20" w:name="_Hlt74729768"/>
      <w:bookmarkEnd w:id="20"/>
      <w:bookmarkStart w:id="21" w:name="_Hlt74714665"/>
      <w:bookmarkEnd w:id="21"/>
      <w:bookmarkStart w:id="22" w:name="_Hlt75236290"/>
      <w:bookmarkEnd w:id="22"/>
      <w:bookmarkStart w:id="23" w:name="_Hlt75236101"/>
      <w:bookmarkEnd w:id="23"/>
      <w:bookmarkStart w:id="24" w:name="_Hlt68403820"/>
      <w:bookmarkEnd w:id="24"/>
      <w:bookmarkStart w:id="25" w:name="_Hlt74730295"/>
      <w:bookmarkEnd w:id="25"/>
      <w:bookmarkStart w:id="26" w:name="_Hlt68072990"/>
      <w:bookmarkEnd w:id="26"/>
      <w:bookmarkStart w:id="27" w:name="_Hlt68072998"/>
      <w:bookmarkEnd w:id="27"/>
      <w:bookmarkStart w:id="28" w:name="_Hlt68057669"/>
      <w:bookmarkEnd w:id="28"/>
      <w:bookmarkStart w:id="29" w:name="_Hlt68073093"/>
      <w:bookmarkEnd w:id="29"/>
      <w:bookmarkStart w:id="30" w:name="_Hlt74707468"/>
      <w:bookmarkEnd w:id="30"/>
      <w:bookmarkStart w:id="31" w:name="_Hlt75236011"/>
      <w:bookmarkEnd w:id="31"/>
    </w:p>
    <w:p>
      <w:pPr>
        <w:kinsoku/>
        <w:wordWrap/>
        <w:overflowPunct/>
        <w:topLinePunct w:val="0"/>
        <w:bidi w:val="0"/>
        <w:outlineLvl w:val="9"/>
        <w:rPr>
          <w:color w:val="auto"/>
          <w:highlight w:val="none"/>
        </w:rPr>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color w:val="auto"/>
          <w:sz w:val="36"/>
          <w:szCs w:val="36"/>
          <w:highlight w:val="none"/>
        </w:rPr>
      </w:pPr>
      <w:bookmarkStart w:id="32" w:name="_Toc26044"/>
      <w:bookmarkStart w:id="33" w:name="第四部分"/>
      <w:r>
        <w:rPr>
          <w:rFonts w:hint="eastAsia" w:ascii="宋体" w:hAnsi="宋体" w:cs="宋体"/>
          <w:b/>
          <w:color w:val="auto"/>
          <w:sz w:val="36"/>
          <w:szCs w:val="36"/>
          <w:highlight w:val="none"/>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b/>
          <w:bCs/>
          <w:color w:val="auto"/>
          <w:kern w:val="0"/>
          <w:sz w:val="24"/>
          <w:szCs w:val="24"/>
          <w:highlight w:val="none"/>
        </w:rPr>
      </w:pPr>
      <w:bookmarkStart w:id="34" w:name="_Toc24013"/>
      <w:r>
        <w:rPr>
          <w:rFonts w:hint="eastAsia" w:ascii="宋体" w:hAnsi="宋体" w:eastAsia="宋体" w:cs="宋体"/>
          <w:b/>
          <w:bCs/>
          <w:color w:val="auto"/>
          <w:kern w:val="0"/>
          <w:sz w:val="24"/>
          <w:szCs w:val="24"/>
          <w:highlight w:val="none"/>
        </w:rPr>
        <w:t>前附表</w:t>
      </w:r>
      <w:bookmarkEnd w:id="34"/>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bookmarkStart w:id="35" w:name="_Toc329697494"/>
            <w:bookmarkStart w:id="36" w:name="_Toc317685548"/>
            <w:r>
              <w:rPr>
                <w:rFonts w:hint="eastAsia" w:ascii="宋体" w:hAnsi="宋体" w:eastAsia="宋体" w:cs="宋体"/>
                <w:b/>
                <w:color w:val="auto"/>
                <w:kern w:val="0"/>
                <w:sz w:val="24"/>
                <w:szCs w:val="24"/>
                <w:highlight w:val="none"/>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详见</w:t>
            </w:r>
            <w:r>
              <w:rPr>
                <w:rFonts w:hint="eastAsia" w:ascii="宋体" w:hAnsi="宋体" w:eastAsia="宋体" w:cs="宋体"/>
                <w:color w:val="auto"/>
                <w:kern w:val="0"/>
                <w:sz w:val="24"/>
                <w:szCs w:val="24"/>
                <w:highlight w:val="none"/>
                <w:lang w:val="en-US" w:eastAsia="zh-CN"/>
              </w:rPr>
              <w:t>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详见第一部分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合同履约期限</w:t>
            </w:r>
            <w:r>
              <w:rPr>
                <w:rFonts w:hint="eastAsia" w:ascii="宋体" w:hAnsi="宋体" w:eastAsia="宋体" w:cs="宋体"/>
                <w:color w:val="auto"/>
                <w:kern w:val="0"/>
                <w:sz w:val="24"/>
                <w:szCs w:val="24"/>
                <w:highlight w:val="none"/>
              </w:rPr>
              <w:t>：详见第一部分 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实施地点：详见</w:t>
            </w:r>
            <w:r>
              <w:rPr>
                <w:rFonts w:hint="eastAsia" w:ascii="宋体" w:hAnsi="宋体" w:eastAsia="宋体" w:cs="宋体"/>
                <w:color w:val="auto"/>
                <w:kern w:val="0"/>
                <w:sz w:val="24"/>
                <w:szCs w:val="24"/>
                <w:highlight w:val="none"/>
                <w:lang w:val="en-US" w:eastAsia="zh-CN"/>
              </w:rPr>
              <w:t>本部分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技术规格要求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物理特性要求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（1）质量要求：详见本部分内容</w:t>
            </w:r>
            <w:r>
              <w:rPr>
                <w:rFonts w:hint="eastAsia" w:ascii="宋体" w:hAnsi="宋体" w:eastAsia="宋体" w:cs="宋体"/>
                <w:color w:val="auto"/>
                <w:kern w:val="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r>
              <w:rPr>
                <w:rFonts w:hint="eastAsia" w:ascii="宋体" w:hAnsi="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color w:val="auto"/>
          <w:kern w:val="0"/>
          <w:sz w:val="24"/>
          <w:szCs w:val="24"/>
          <w:highlight w:val="none"/>
        </w:rPr>
      </w:pPr>
    </w:p>
    <w:p>
      <w:pPr>
        <w:widowControl/>
        <w:kinsoku/>
        <w:wordWrap/>
        <w:overflowPunct/>
        <w:topLinePunct w:val="0"/>
        <w:bidi w:val="0"/>
        <w:adjustRightInd/>
        <w:spacing w:line="360" w:lineRule="auto"/>
        <w:jc w:val="center"/>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default"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一、重要商务要求一览表</w:t>
      </w:r>
      <w:r>
        <w:rPr>
          <w:rFonts w:hint="eastAsia" w:ascii="宋体" w:hAnsi="宋体" w:cs="宋体"/>
          <w:b/>
          <w:color w:val="auto"/>
          <w:kern w:val="0"/>
          <w:sz w:val="24"/>
          <w:szCs w:val="24"/>
          <w:highlight w:val="none"/>
          <w:lang w:eastAsia="zh-CN"/>
        </w:rPr>
        <w:t>（</w:t>
      </w:r>
      <w:r>
        <w:rPr>
          <w:rFonts w:hint="eastAsia" w:ascii="宋体" w:hAnsi="宋体" w:cs="宋体"/>
          <w:b/>
          <w:color w:val="auto"/>
          <w:kern w:val="0"/>
          <w:sz w:val="24"/>
          <w:szCs w:val="24"/>
          <w:highlight w:val="none"/>
          <w:lang w:val="en-US" w:eastAsia="zh-CN"/>
        </w:rPr>
        <w:t>适用于所有标项）</w:t>
      </w:r>
    </w:p>
    <w:bookmarkEnd w:id="35"/>
    <w:bookmarkEnd w:id="36"/>
    <w:tbl>
      <w:tblPr>
        <w:tblStyle w:val="62"/>
        <w:tblW w:w="8355" w:type="dxa"/>
        <w:tblInd w:w="4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合同履约期限及地点</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）合同履约期限：详见第一部分 《招标公告》。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）实施地点：采购人指定地点。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3"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付款方式</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val="0"/>
                <w:bCs w:val="0"/>
                <w:color w:val="auto"/>
                <w:kern w:val="0"/>
                <w:sz w:val="24"/>
                <w:szCs w:val="24"/>
                <w:highlight w:val="none"/>
                <w:lang w:val="en-US" w:eastAsia="zh-CN"/>
              </w:rPr>
            </w:pPr>
            <w:r>
              <w:rPr>
                <w:rFonts w:hint="default" w:ascii="宋体" w:hAnsi="宋体" w:eastAsia="宋体" w:cs="宋体"/>
                <w:b w:val="0"/>
                <w:bCs w:val="0"/>
                <w:color w:val="auto"/>
                <w:kern w:val="0"/>
                <w:sz w:val="24"/>
                <w:szCs w:val="24"/>
                <w:highlight w:val="none"/>
                <w:lang w:val="en-US" w:eastAsia="zh-CN"/>
              </w:rPr>
              <w:t>1、合同生效及具备实施条件后7个工作日内支付年度合同总价30%的预付款；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val="0"/>
                <w:bCs w:val="0"/>
                <w:color w:val="auto"/>
                <w:kern w:val="0"/>
                <w:sz w:val="24"/>
                <w:szCs w:val="24"/>
                <w:highlight w:val="none"/>
                <w:lang w:val="en-US" w:eastAsia="zh-CN"/>
              </w:rPr>
            </w:pPr>
            <w:r>
              <w:rPr>
                <w:rFonts w:hint="default" w:ascii="宋体" w:hAnsi="宋体" w:eastAsia="宋体" w:cs="宋体"/>
                <w:b w:val="0"/>
                <w:bCs w:val="0"/>
                <w:color w:val="auto"/>
                <w:kern w:val="0"/>
                <w:sz w:val="24"/>
                <w:szCs w:val="24"/>
                <w:highlight w:val="none"/>
                <w:lang w:val="en-US" w:eastAsia="zh-CN"/>
              </w:rPr>
              <w:t>2、服务半年后，经采购人检查考核通过后，支付至年度合同总价的</w:t>
            </w:r>
            <w:r>
              <w:rPr>
                <w:rFonts w:hint="eastAsia" w:ascii="宋体" w:hAnsi="宋体" w:cs="宋体"/>
                <w:b w:val="0"/>
                <w:bCs w:val="0"/>
                <w:color w:val="auto"/>
                <w:kern w:val="0"/>
                <w:sz w:val="24"/>
                <w:szCs w:val="24"/>
                <w:highlight w:val="none"/>
                <w:lang w:val="en-US" w:eastAsia="zh-CN"/>
              </w:rPr>
              <w:t>60</w:t>
            </w:r>
            <w:r>
              <w:rPr>
                <w:rFonts w:hint="default" w:ascii="宋体" w:hAnsi="宋体" w:eastAsia="宋体" w:cs="宋体"/>
                <w:b w:val="0"/>
                <w:bCs w:val="0"/>
                <w:color w:val="auto"/>
                <w:kern w:val="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val="0"/>
                <w:bCs w:val="0"/>
                <w:color w:val="auto"/>
                <w:kern w:val="0"/>
                <w:sz w:val="24"/>
                <w:szCs w:val="24"/>
                <w:highlight w:val="none"/>
                <w:lang w:val="en-US" w:eastAsia="zh-CN"/>
              </w:rPr>
            </w:pPr>
            <w:r>
              <w:rPr>
                <w:rFonts w:hint="default" w:ascii="宋体" w:hAnsi="宋体" w:eastAsia="宋体" w:cs="宋体"/>
                <w:b w:val="0"/>
                <w:bCs w:val="0"/>
                <w:color w:val="auto"/>
                <w:kern w:val="0"/>
                <w:sz w:val="24"/>
                <w:szCs w:val="24"/>
                <w:highlight w:val="none"/>
                <w:lang w:val="en-US" w:eastAsia="zh-CN"/>
              </w:rPr>
              <w:t>3、在年度合同服务期限满后，经采购人验收合格后一次性付清余款。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color w:val="auto"/>
                <w:kern w:val="0"/>
                <w:sz w:val="24"/>
                <w:szCs w:val="24"/>
                <w:highlight w:val="none"/>
                <w:lang w:val="en-US" w:eastAsia="zh-CN"/>
              </w:rPr>
            </w:pPr>
            <w:r>
              <w:rPr>
                <w:rFonts w:hint="default" w:ascii="宋体" w:hAnsi="宋体" w:eastAsia="宋体" w:cs="宋体"/>
                <w:b/>
                <w:bCs/>
                <w:color w:val="auto"/>
                <w:kern w:val="0"/>
                <w:sz w:val="24"/>
                <w:szCs w:val="24"/>
                <w:highlight w:val="none"/>
                <w:lang w:val="en-US" w:eastAsia="zh-CN"/>
              </w:rPr>
              <w:t>注：付款前</w:t>
            </w:r>
            <w:r>
              <w:rPr>
                <w:rFonts w:hint="eastAsia" w:ascii="宋体" w:hAnsi="宋体" w:cs="宋体"/>
                <w:b/>
                <w:bCs/>
                <w:color w:val="auto"/>
                <w:kern w:val="0"/>
                <w:sz w:val="24"/>
                <w:szCs w:val="24"/>
                <w:highlight w:val="none"/>
                <w:lang w:val="en-US" w:eastAsia="zh-CN"/>
              </w:rPr>
              <w:t>中标人</w:t>
            </w:r>
            <w:r>
              <w:rPr>
                <w:rFonts w:hint="default" w:ascii="宋体" w:hAnsi="宋体" w:eastAsia="宋体" w:cs="宋体"/>
                <w:b/>
                <w:bCs/>
                <w:color w:val="auto"/>
                <w:kern w:val="0"/>
                <w:sz w:val="24"/>
                <w:szCs w:val="24"/>
                <w:highlight w:val="none"/>
                <w:lang w:val="en-US" w:eastAsia="zh-CN"/>
              </w:rPr>
              <w:t>必须确保消杀质量达到验收标准，并通过各级爱卫办的除四害督查、县疾控中心的季度检查、市第三方监测评估、国家卫生县城复审和病媒生物控制水平评估等有关要求。如不能通过上述考核检查要求的，终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履约保证金</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合同终止</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中标人</w:t>
            </w:r>
            <w:r>
              <w:rPr>
                <w:rFonts w:hint="eastAsia" w:ascii="宋体" w:hAnsi="宋体" w:eastAsia="宋体" w:cs="宋体"/>
                <w:color w:val="auto"/>
                <w:kern w:val="0"/>
                <w:sz w:val="24"/>
                <w:szCs w:val="24"/>
                <w:highlight w:val="none"/>
                <w:lang w:val="en-US" w:eastAsia="zh-CN"/>
              </w:rPr>
              <w:t>在合同有效期内，不得</w:t>
            </w:r>
            <w:r>
              <w:rPr>
                <w:rFonts w:hint="eastAsia" w:ascii="宋体" w:hAnsi="宋体" w:cs="宋体"/>
                <w:color w:val="auto"/>
                <w:kern w:val="0"/>
                <w:sz w:val="24"/>
                <w:szCs w:val="24"/>
                <w:highlight w:val="none"/>
                <w:lang w:val="en-US" w:eastAsia="zh-CN"/>
              </w:rPr>
              <w:t>无理</w:t>
            </w:r>
            <w:r>
              <w:rPr>
                <w:rFonts w:hint="eastAsia" w:ascii="宋体" w:hAnsi="宋体" w:eastAsia="宋体" w:cs="宋体"/>
                <w:color w:val="auto"/>
                <w:kern w:val="0"/>
                <w:sz w:val="24"/>
                <w:szCs w:val="24"/>
                <w:highlight w:val="none"/>
                <w:lang w:val="en-US" w:eastAsia="zh-CN"/>
              </w:rPr>
              <w:t>由终止合同，确有特殊情况的，须提前向采购人提出书面申请，经采购人同意后，方可终止合同。因</w:t>
            </w:r>
            <w:r>
              <w:rPr>
                <w:rFonts w:hint="eastAsia" w:ascii="宋体" w:hAnsi="宋体" w:cs="宋体"/>
                <w:color w:val="auto"/>
                <w:kern w:val="0"/>
                <w:sz w:val="24"/>
                <w:szCs w:val="24"/>
                <w:highlight w:val="none"/>
                <w:lang w:val="en-US" w:eastAsia="zh-CN"/>
              </w:rPr>
              <w:t>中标人</w:t>
            </w:r>
            <w:r>
              <w:rPr>
                <w:rFonts w:hint="eastAsia" w:ascii="宋体" w:hAnsi="宋体" w:eastAsia="宋体" w:cs="宋体"/>
                <w:color w:val="auto"/>
                <w:kern w:val="0"/>
                <w:sz w:val="24"/>
                <w:szCs w:val="24"/>
                <w:highlight w:val="none"/>
                <w:lang w:val="en-US" w:eastAsia="zh-CN"/>
              </w:rPr>
              <w:t>不能保证工作质量，或发生重大差错事故的，采购人可有权终止合同，</w:t>
            </w:r>
            <w:r>
              <w:rPr>
                <w:rFonts w:hint="eastAsia" w:ascii="宋体" w:hAnsi="宋体" w:cs="宋体"/>
                <w:color w:val="auto"/>
                <w:kern w:val="0"/>
                <w:sz w:val="24"/>
                <w:szCs w:val="24"/>
                <w:highlight w:val="none"/>
                <w:lang w:val="en-US" w:eastAsia="zh-CN"/>
              </w:rPr>
              <w:t>中标人</w:t>
            </w:r>
            <w:r>
              <w:rPr>
                <w:rFonts w:hint="eastAsia" w:ascii="宋体" w:hAnsi="宋体" w:eastAsia="宋体" w:cs="宋体"/>
                <w:color w:val="auto"/>
                <w:kern w:val="0"/>
                <w:sz w:val="24"/>
                <w:szCs w:val="24"/>
                <w:highlight w:val="none"/>
                <w:lang w:val="en-US" w:eastAsia="zh-CN"/>
              </w:rPr>
              <w:t>承担全部责任。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5" w:type="dxa"/>
            <w:noWrap w:val="0"/>
            <w:vAlign w:val="center"/>
          </w:tcPr>
          <w:p>
            <w:pPr>
              <w:keepNext w:val="0"/>
              <w:keepLines w:val="0"/>
              <w:suppressLineNumbers w:val="0"/>
              <w:adjustRightInd/>
              <w:spacing w:before="0" w:beforeAutospacing="0" w:after="0" w:afterAutospacing="0"/>
              <w:ind w:left="0" w:right="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预付款担保</w:t>
            </w:r>
          </w:p>
        </w:tc>
        <w:tc>
          <w:tcPr>
            <w:tcW w:w="6810" w:type="dxa"/>
            <w:noWrap w:val="0"/>
            <w:vAlign w:val="center"/>
          </w:tcPr>
          <w:p>
            <w:pPr>
              <w:keepNext w:val="0"/>
              <w:keepLines w:val="0"/>
              <w:suppressLineNumbers w:val="0"/>
              <w:adjustRightInd/>
              <w:spacing w:before="0" w:beforeAutospacing="0" w:after="0" w:afterAutospacing="0" w:line="360" w:lineRule="auto"/>
              <w:ind w:left="0" w:right="0"/>
              <w:jc w:val="left"/>
              <w:rPr>
                <w:rFonts w:hint="eastAsia" w:ascii="宋体" w:hAnsi="宋体" w:eastAsia="宋体" w:cs="宋体"/>
                <w:color w:val="auto"/>
                <w:sz w:val="24"/>
                <w:highlight w:val="none"/>
                <w:u w:val="none"/>
                <w:lang w:val="en-US" w:eastAsia="zh-CN"/>
              </w:rPr>
            </w:pPr>
            <w:r>
              <w:rPr>
                <w:rFonts w:hint="eastAsia" w:ascii="宋体" w:hAnsi="宋体" w:cs="宋体"/>
                <w:color w:val="auto"/>
                <w:sz w:val="24"/>
                <w:highlight w:val="none"/>
                <w:u w:val="none"/>
                <w:lang w:val="en-US" w:eastAsia="zh-CN"/>
              </w:rPr>
              <w:t>（1）</w:t>
            </w:r>
            <w:r>
              <w:rPr>
                <w:rFonts w:hint="eastAsia" w:ascii="宋体" w:hAnsi="宋体" w:eastAsia="宋体" w:cs="宋体"/>
                <w:color w:val="auto"/>
                <w:sz w:val="24"/>
                <w:highlight w:val="none"/>
                <w:u w:val="none"/>
                <w:lang w:val="en-US" w:eastAsia="zh-CN"/>
              </w:rPr>
              <w:t>预付款担保金额：同预付款相等金额；</w:t>
            </w:r>
          </w:p>
          <w:p>
            <w:pPr>
              <w:keepNext w:val="0"/>
              <w:keepLines w:val="0"/>
              <w:suppressLineNumbers w:val="0"/>
              <w:adjustRightInd/>
              <w:spacing w:before="0" w:beforeAutospacing="0" w:after="0" w:afterAutospacing="0" w:line="360" w:lineRule="auto"/>
              <w:ind w:left="0" w:right="0"/>
              <w:jc w:val="left"/>
              <w:rPr>
                <w:rFonts w:hint="eastAsia" w:ascii="宋体" w:hAnsi="宋体" w:eastAsia="宋体" w:cs="宋体"/>
                <w:color w:val="auto"/>
                <w:sz w:val="24"/>
                <w:highlight w:val="none"/>
                <w:u w:val="none"/>
                <w:lang w:val="en-US" w:eastAsia="zh-CN"/>
              </w:rPr>
            </w:pPr>
            <w:r>
              <w:rPr>
                <w:rFonts w:hint="eastAsia" w:ascii="宋体" w:hAnsi="宋体" w:cs="宋体"/>
                <w:color w:val="auto"/>
                <w:sz w:val="24"/>
                <w:highlight w:val="none"/>
                <w:u w:val="none"/>
                <w:lang w:val="en-US" w:eastAsia="zh-CN"/>
              </w:rPr>
              <w:t>（2）</w:t>
            </w:r>
            <w:r>
              <w:rPr>
                <w:rFonts w:hint="eastAsia" w:ascii="宋体" w:hAnsi="宋体" w:eastAsia="宋体" w:cs="宋体"/>
                <w:color w:val="auto"/>
                <w:sz w:val="24"/>
                <w:highlight w:val="none"/>
                <w:u w:val="none"/>
                <w:lang w:val="en-US" w:eastAsia="zh-CN"/>
              </w:rPr>
              <w:t>预付款担保形式：银行出具的保函或保险公司出具的保单；</w:t>
            </w:r>
          </w:p>
          <w:p>
            <w:pPr>
              <w:keepNext w:val="0"/>
              <w:keepLines w:val="0"/>
              <w:suppressLineNumbers w:val="0"/>
              <w:adjustRightInd/>
              <w:spacing w:before="0" w:beforeAutospacing="0" w:after="0" w:afterAutospacing="0" w:line="360" w:lineRule="auto"/>
              <w:ind w:left="0" w:right="0"/>
              <w:jc w:val="left"/>
              <w:rPr>
                <w:rFonts w:hint="eastAsia" w:ascii="宋体" w:hAnsi="宋体" w:eastAsia="宋体" w:cs="宋体"/>
                <w:color w:val="auto"/>
                <w:sz w:val="24"/>
                <w:highlight w:val="none"/>
                <w:u w:val="none"/>
                <w:lang w:val="en-US" w:eastAsia="zh-CN"/>
              </w:rPr>
            </w:pPr>
            <w:r>
              <w:rPr>
                <w:rFonts w:hint="eastAsia" w:ascii="宋体" w:hAnsi="宋体" w:cs="宋体"/>
                <w:color w:val="auto"/>
                <w:sz w:val="24"/>
                <w:highlight w:val="none"/>
                <w:u w:val="none"/>
                <w:lang w:val="en-US" w:eastAsia="zh-CN"/>
              </w:rPr>
              <w:t>（3）</w:t>
            </w:r>
            <w:r>
              <w:rPr>
                <w:rFonts w:hint="eastAsia" w:ascii="宋体" w:hAnsi="宋体" w:eastAsia="宋体" w:cs="宋体"/>
                <w:color w:val="auto"/>
                <w:sz w:val="24"/>
                <w:highlight w:val="none"/>
                <w:u w:val="none"/>
                <w:lang w:val="en-US" w:eastAsia="zh-CN"/>
              </w:rPr>
              <w:t>预付款担保提交时间：年度合同签订，项目具备实施条件后7个工作日内；</w:t>
            </w:r>
          </w:p>
          <w:p>
            <w:pPr>
              <w:keepNext w:val="0"/>
              <w:keepLines w:val="0"/>
              <w:suppressLineNumbers w:val="0"/>
              <w:adjustRightInd/>
              <w:spacing w:before="0" w:beforeAutospacing="0" w:after="0" w:afterAutospacing="0" w:line="360" w:lineRule="auto"/>
              <w:ind w:left="0" w:right="0"/>
              <w:jc w:val="left"/>
              <w:rPr>
                <w:rFonts w:hint="eastAsia" w:ascii="宋体" w:hAnsi="宋体" w:eastAsia="宋体" w:cs="宋体"/>
                <w:color w:val="auto"/>
                <w:sz w:val="24"/>
                <w:highlight w:val="none"/>
                <w:u w:val="none"/>
                <w:lang w:val="en-US" w:eastAsia="zh-CN"/>
              </w:rPr>
            </w:pPr>
            <w:r>
              <w:rPr>
                <w:rFonts w:hint="eastAsia" w:ascii="宋体" w:hAnsi="宋体" w:cs="宋体"/>
                <w:color w:val="auto"/>
                <w:sz w:val="24"/>
                <w:highlight w:val="none"/>
                <w:u w:val="none"/>
                <w:lang w:val="en-US" w:eastAsia="zh-CN"/>
              </w:rPr>
              <w:t>（4）</w:t>
            </w:r>
            <w:r>
              <w:rPr>
                <w:rFonts w:hint="eastAsia" w:ascii="宋体" w:hAnsi="宋体" w:eastAsia="宋体" w:cs="宋体"/>
                <w:color w:val="auto"/>
                <w:sz w:val="24"/>
                <w:highlight w:val="none"/>
                <w:u w:val="none"/>
                <w:lang w:val="en-US" w:eastAsia="zh-CN"/>
              </w:rPr>
              <w:t>预付款担保期限：自采购人支付预付款之日起至年度合同完成并通过验收合格之日止；</w:t>
            </w:r>
          </w:p>
          <w:p>
            <w:pPr>
              <w:keepNext w:val="0"/>
              <w:keepLines w:val="0"/>
              <w:suppressLineNumbers w:val="0"/>
              <w:adjustRightInd/>
              <w:spacing w:before="0" w:beforeAutospacing="0" w:after="0" w:afterAutospacing="0" w:line="360" w:lineRule="auto"/>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预付款担保的退还：年度合同完成并通过验收合格之日后退还预付款担保。</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二、招标要求</w:t>
      </w:r>
    </w:p>
    <w:p>
      <w:pPr>
        <w:keepNext w:val="0"/>
        <w:keepLines w:val="0"/>
        <w:pageBreakBefore w:val="0"/>
        <w:widowControl w:val="0"/>
        <w:kinsoku/>
        <w:wordWrap/>
        <w:overflowPunct/>
        <w:topLinePunct w:val="0"/>
        <w:bidi w:val="0"/>
        <w:adjustRightInd/>
        <w:snapToGrid/>
        <w:spacing w:line="336"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（一）消杀范围:</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标项</w:t>
      </w:r>
      <w:r>
        <w:rPr>
          <w:rFonts w:hint="eastAsia" w:ascii="宋体" w:hAnsi="宋体" w:eastAsia="宋体" w:cs="宋体"/>
          <w:b/>
          <w:bCs/>
          <w:color w:val="auto"/>
          <w:sz w:val="24"/>
          <w:szCs w:val="24"/>
          <w:highlight w:val="none"/>
        </w:rPr>
        <w:t>一：</w:t>
      </w:r>
      <w:r>
        <w:rPr>
          <w:rFonts w:hint="eastAsia" w:ascii="宋体" w:hAnsi="宋体" w:eastAsia="宋体" w:cs="宋体"/>
          <w:color w:val="auto"/>
          <w:sz w:val="24"/>
          <w:szCs w:val="24"/>
          <w:highlight w:val="none"/>
        </w:rPr>
        <w:t>城市建成区范围的</w:t>
      </w:r>
      <w:r>
        <w:rPr>
          <w:rFonts w:hint="eastAsia" w:ascii="宋体" w:hAnsi="宋体" w:eastAsia="宋体" w:cs="宋体"/>
          <w:b/>
          <w:bCs/>
          <w:color w:val="auto"/>
          <w:sz w:val="24"/>
          <w:szCs w:val="24"/>
          <w:highlight w:val="none"/>
        </w:rPr>
        <w:t>跃龙街道</w:t>
      </w:r>
      <w:r>
        <w:rPr>
          <w:rFonts w:hint="eastAsia" w:ascii="宋体" w:hAnsi="宋体" w:eastAsia="宋体" w:cs="宋体"/>
          <w:color w:val="auto"/>
          <w:sz w:val="24"/>
          <w:szCs w:val="24"/>
          <w:highlight w:val="none"/>
        </w:rPr>
        <w:t>行政区域，指东至白峤岭隧道、南至徐霞客大道、西至山河岭、北至时代大道的公共外环境、“五小”单位和重点服务单位（公共“外环境”指</w:t>
      </w:r>
      <w:r>
        <w:rPr>
          <w:rFonts w:hint="eastAsia" w:ascii="宋体" w:hAnsi="宋体" w:eastAsia="宋体" w:cs="宋体"/>
          <w:color w:val="auto"/>
          <w:sz w:val="24"/>
          <w:szCs w:val="24"/>
          <w:highlight w:val="none"/>
          <w:lang w:eastAsia="zh-CN"/>
        </w:rPr>
        <w:t>主要道路、</w:t>
      </w:r>
      <w:r>
        <w:rPr>
          <w:rFonts w:hint="eastAsia" w:ascii="宋体" w:hAnsi="宋体" w:eastAsia="宋体" w:cs="宋体"/>
          <w:color w:val="auto"/>
          <w:sz w:val="24"/>
          <w:szCs w:val="24"/>
          <w:highlight w:val="none"/>
        </w:rPr>
        <w:t>公共绿地、河流、下水道、窨井、阴沟、户外垃圾桶（约</w:t>
      </w:r>
      <w:r>
        <w:rPr>
          <w:rFonts w:hint="eastAsia" w:ascii="宋体" w:hAnsi="宋体" w:eastAsia="宋体" w:cs="宋体"/>
          <w:color w:val="auto"/>
          <w:sz w:val="24"/>
          <w:szCs w:val="24"/>
          <w:highlight w:val="none"/>
          <w:lang w:val="en-US" w:eastAsia="zh-CN"/>
        </w:rPr>
        <w:t>1500</w:t>
      </w:r>
      <w:r>
        <w:rPr>
          <w:rFonts w:hint="eastAsia" w:ascii="宋体" w:hAnsi="宋体" w:eastAsia="宋体" w:cs="宋体"/>
          <w:color w:val="auto"/>
          <w:sz w:val="24"/>
          <w:szCs w:val="24"/>
          <w:highlight w:val="none"/>
        </w:rPr>
        <w:t>只）、垃圾中转站（约8座）、公共厕所（约</w:t>
      </w:r>
      <w:r>
        <w:rPr>
          <w:rFonts w:hint="eastAsia" w:ascii="宋体" w:hAnsi="宋体" w:eastAsia="宋体" w:cs="宋体"/>
          <w:color w:val="auto"/>
          <w:sz w:val="24"/>
          <w:szCs w:val="24"/>
          <w:highlight w:val="none"/>
          <w:lang w:val="en-US" w:eastAsia="zh-CN"/>
        </w:rPr>
        <w:t>71</w:t>
      </w:r>
      <w:r>
        <w:rPr>
          <w:rFonts w:hint="eastAsia" w:ascii="宋体" w:hAnsi="宋体" w:eastAsia="宋体" w:cs="宋体"/>
          <w:color w:val="auto"/>
          <w:sz w:val="24"/>
          <w:szCs w:val="24"/>
          <w:highlight w:val="none"/>
        </w:rPr>
        <w:t>座）、企事业单位外围、公共地下停车库、防空洞、居民区楼道公共区域、城中村居民户围墙外、没有围墙包括门外空地的公共区域等及划定区域外 300 米至 500 米范围的除“四害”防护带；“五小”单位指 200 平方米以下的小副食店、小餐饮（约</w:t>
      </w:r>
      <w:r>
        <w:rPr>
          <w:rFonts w:hint="eastAsia" w:ascii="宋体" w:hAnsi="宋体" w:eastAsia="宋体" w:cs="宋体"/>
          <w:color w:val="auto"/>
          <w:sz w:val="24"/>
          <w:szCs w:val="24"/>
          <w:highlight w:val="none"/>
          <w:lang w:val="en-US" w:eastAsia="zh-CN"/>
        </w:rPr>
        <w:t>2000</w:t>
      </w:r>
      <w:r>
        <w:rPr>
          <w:rFonts w:hint="eastAsia" w:ascii="宋体" w:hAnsi="宋体" w:eastAsia="宋体" w:cs="宋体"/>
          <w:color w:val="auto"/>
          <w:sz w:val="24"/>
          <w:szCs w:val="24"/>
          <w:highlight w:val="none"/>
        </w:rPr>
        <w:t>家）、小美容美发、小旅社、小浴室等（约3</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0家）。重点服务单位指：洗车业、修车铺、蔬菜行、废品回收站、果蔬行等及爱卫办临时指定场所（包括南门片范家村、前洋村、溪南柳、溪南许、岭脚村等公共场所）。</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标项</w:t>
      </w:r>
      <w:r>
        <w:rPr>
          <w:rFonts w:hint="eastAsia" w:ascii="宋体" w:hAnsi="宋体" w:eastAsia="宋体" w:cs="宋体"/>
          <w:b/>
          <w:bCs/>
          <w:color w:val="auto"/>
          <w:sz w:val="24"/>
          <w:szCs w:val="24"/>
          <w:highlight w:val="none"/>
        </w:rPr>
        <w:t>二：</w:t>
      </w:r>
      <w:r>
        <w:rPr>
          <w:rFonts w:hint="eastAsia" w:ascii="宋体" w:hAnsi="宋体" w:eastAsia="宋体" w:cs="宋体"/>
          <w:color w:val="auto"/>
          <w:sz w:val="24"/>
          <w:szCs w:val="24"/>
          <w:highlight w:val="none"/>
        </w:rPr>
        <w:t>城市建成区范围的</w:t>
      </w:r>
      <w:r>
        <w:rPr>
          <w:rFonts w:hint="eastAsia" w:ascii="宋体" w:hAnsi="宋体" w:eastAsia="宋体" w:cs="宋体"/>
          <w:b/>
          <w:bCs/>
          <w:color w:val="auto"/>
          <w:sz w:val="24"/>
          <w:szCs w:val="24"/>
          <w:highlight w:val="none"/>
        </w:rPr>
        <w:t>桃源街道</w:t>
      </w:r>
      <w:r>
        <w:rPr>
          <w:rFonts w:hint="eastAsia" w:ascii="宋体" w:hAnsi="宋体" w:eastAsia="宋体" w:cs="宋体"/>
          <w:color w:val="auto"/>
          <w:sz w:val="24"/>
          <w:szCs w:val="24"/>
          <w:highlight w:val="none"/>
        </w:rPr>
        <w:t>行政区域，指东至花山隧道、南至时代大道、西至环西路、北至高速出口的公共“外环境”、“五小”单位和重点服务单位（公共“外环境”指</w:t>
      </w:r>
      <w:r>
        <w:rPr>
          <w:rFonts w:hint="eastAsia" w:ascii="宋体" w:hAnsi="宋体" w:eastAsia="宋体" w:cs="宋体"/>
          <w:color w:val="auto"/>
          <w:sz w:val="24"/>
          <w:szCs w:val="24"/>
          <w:highlight w:val="none"/>
          <w:lang w:eastAsia="zh-CN"/>
        </w:rPr>
        <w:t>主要道路、</w:t>
      </w:r>
      <w:r>
        <w:rPr>
          <w:rFonts w:hint="eastAsia" w:ascii="宋体" w:hAnsi="宋体" w:eastAsia="宋体" w:cs="宋体"/>
          <w:color w:val="auto"/>
          <w:sz w:val="24"/>
          <w:szCs w:val="24"/>
          <w:highlight w:val="none"/>
        </w:rPr>
        <w:t>公共绿地、河流、下水道、窨井、阴沟、户外垃圾桶（约</w:t>
      </w:r>
      <w:r>
        <w:rPr>
          <w:rFonts w:hint="eastAsia" w:ascii="宋体" w:hAnsi="宋体" w:eastAsia="宋体" w:cs="宋体"/>
          <w:color w:val="auto"/>
          <w:sz w:val="24"/>
          <w:szCs w:val="24"/>
          <w:highlight w:val="none"/>
          <w:lang w:val="en-US" w:eastAsia="zh-CN"/>
        </w:rPr>
        <w:t>600</w:t>
      </w:r>
      <w:r>
        <w:rPr>
          <w:rFonts w:hint="eastAsia" w:ascii="宋体" w:hAnsi="宋体" w:eastAsia="宋体" w:cs="宋体"/>
          <w:color w:val="auto"/>
          <w:sz w:val="24"/>
          <w:szCs w:val="24"/>
          <w:highlight w:val="none"/>
        </w:rPr>
        <w:t>只）、垃圾中转站（约4座）、公共厕所（约10座）、企事业单位外围、公共地下停车库、防空洞、居民区公共区域等及划定区域外 300 米至 500 米范围的除“四害”防护带；“五小”单位指 200 平方米以下的小副食店、小餐饮等（约</w:t>
      </w:r>
      <w:r>
        <w:rPr>
          <w:rFonts w:hint="eastAsia" w:ascii="宋体" w:hAnsi="宋体" w:eastAsia="宋体" w:cs="宋体"/>
          <w:color w:val="auto"/>
          <w:sz w:val="24"/>
          <w:szCs w:val="24"/>
          <w:highlight w:val="none"/>
          <w:lang w:val="en-US" w:eastAsia="zh-CN"/>
        </w:rPr>
        <w:t>1200</w:t>
      </w:r>
      <w:r>
        <w:rPr>
          <w:rFonts w:hint="eastAsia" w:ascii="宋体" w:hAnsi="宋体" w:eastAsia="宋体" w:cs="宋体"/>
          <w:color w:val="auto"/>
          <w:sz w:val="24"/>
          <w:szCs w:val="24"/>
          <w:highlight w:val="none"/>
        </w:rPr>
        <w:t>家）和小美容美发、小旅社、小浴室等（约</w:t>
      </w:r>
      <w:r>
        <w:rPr>
          <w:rFonts w:hint="eastAsia" w:ascii="宋体" w:hAnsi="宋体" w:eastAsia="宋体" w:cs="宋体"/>
          <w:color w:val="auto"/>
          <w:sz w:val="24"/>
          <w:szCs w:val="24"/>
          <w:highlight w:val="none"/>
          <w:lang w:val="en-US" w:eastAsia="zh-CN"/>
        </w:rPr>
        <w:t>180</w:t>
      </w:r>
      <w:r>
        <w:rPr>
          <w:rFonts w:hint="eastAsia" w:ascii="宋体" w:hAnsi="宋体" w:eastAsia="宋体" w:cs="宋体"/>
          <w:color w:val="auto"/>
          <w:sz w:val="24"/>
          <w:szCs w:val="24"/>
          <w:highlight w:val="none"/>
        </w:rPr>
        <w:t>家）。重点服务单位指：洗车业、修车铺、蔬菜行、废品回收站、</w:t>
      </w:r>
      <w:r>
        <w:rPr>
          <w:rFonts w:hint="eastAsia" w:ascii="宋体" w:hAnsi="宋体" w:eastAsia="宋体" w:cs="宋体"/>
          <w:color w:val="auto"/>
          <w:sz w:val="24"/>
          <w:szCs w:val="24"/>
          <w:highlight w:val="none"/>
          <w:lang w:eastAsia="zh-CN"/>
        </w:rPr>
        <w:t>果蔬</w:t>
      </w:r>
      <w:r>
        <w:rPr>
          <w:rFonts w:hint="eastAsia" w:ascii="宋体" w:hAnsi="宋体" w:eastAsia="宋体" w:cs="宋体"/>
          <w:color w:val="auto"/>
          <w:sz w:val="24"/>
          <w:szCs w:val="24"/>
          <w:highlight w:val="none"/>
        </w:rPr>
        <w:t>行等</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爱卫办临时指定场所。</w:t>
      </w:r>
    </w:p>
    <w:p>
      <w:pPr>
        <w:keepNext w:val="0"/>
        <w:keepLines w:val="0"/>
        <w:pageBreakBefore w:val="0"/>
        <w:widowControl w:val="0"/>
        <w:kinsoku/>
        <w:wordWrap/>
        <w:overflowPunct/>
        <w:topLinePunct w:val="0"/>
        <w:bidi w:val="0"/>
        <w:adjustRightInd/>
        <w:snapToGrid/>
        <w:spacing w:line="336" w:lineRule="auto"/>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rPr>
        <w:t>（二）消杀质量要求（验收标准）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服务范围内的鼠、蚊、蝇、蟑螂等四害杀灭服务。达到国卫城市关于病媒生物的控制水平要求（按执行标准为准）。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灭鼠标准：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lang w:eastAsia="zh-CN"/>
        </w:rPr>
        <w:t>室内鼠密度控制水平</w:t>
      </w:r>
      <w:r>
        <w:rPr>
          <w:rFonts w:hint="eastAsia" w:ascii="宋体" w:hAnsi="宋体" w:eastAsia="宋体" w:cs="宋体"/>
          <w:color w:val="auto"/>
          <w:kern w:val="0"/>
          <w:sz w:val="24"/>
          <w:szCs w:val="24"/>
          <w:highlight w:val="none"/>
        </w:rPr>
        <w:t>鼠迹</w:t>
      </w:r>
      <w:r>
        <w:rPr>
          <w:rFonts w:hint="eastAsia" w:ascii="宋体" w:hAnsi="宋体" w:eastAsia="宋体" w:cs="宋体"/>
          <w:color w:val="auto"/>
          <w:kern w:val="0"/>
          <w:sz w:val="24"/>
          <w:szCs w:val="24"/>
          <w:highlight w:val="none"/>
          <w:lang w:eastAsia="zh-CN"/>
        </w:rPr>
        <w:t>阳性率少于或等于</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②</w:t>
      </w:r>
      <w:r>
        <w:rPr>
          <w:rFonts w:hint="eastAsia" w:ascii="宋体" w:hAnsi="宋体" w:eastAsia="宋体" w:cs="宋体"/>
          <w:color w:val="auto"/>
          <w:kern w:val="0"/>
          <w:sz w:val="24"/>
          <w:szCs w:val="24"/>
          <w:highlight w:val="none"/>
        </w:rPr>
        <w:t>重点单位防鼠设施合格</w:t>
      </w:r>
      <w:r>
        <w:rPr>
          <w:rFonts w:hint="eastAsia" w:ascii="宋体" w:hAnsi="宋体" w:eastAsia="宋体" w:cs="宋体"/>
          <w:color w:val="auto"/>
          <w:kern w:val="0"/>
          <w:sz w:val="24"/>
          <w:szCs w:val="24"/>
          <w:highlight w:val="none"/>
          <w:lang w:eastAsia="zh-CN"/>
        </w:rPr>
        <w:t>率大于或等于</w:t>
      </w:r>
      <w:r>
        <w:rPr>
          <w:rFonts w:hint="eastAsia" w:ascii="宋体" w:hAnsi="宋体" w:eastAsia="宋体" w:cs="宋体"/>
          <w:color w:val="auto"/>
          <w:kern w:val="0"/>
          <w:sz w:val="24"/>
          <w:szCs w:val="24"/>
          <w:highlight w:val="none"/>
          <w:lang w:val="en-US" w:eastAsia="zh-CN"/>
        </w:rPr>
        <w:t>95</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③</w:t>
      </w:r>
      <w:r>
        <w:rPr>
          <w:rFonts w:hint="eastAsia" w:ascii="宋体" w:hAnsi="宋体" w:eastAsia="宋体" w:cs="宋体"/>
          <w:color w:val="auto"/>
          <w:kern w:val="0"/>
          <w:sz w:val="24"/>
          <w:szCs w:val="24"/>
          <w:highlight w:val="none"/>
        </w:rPr>
        <w:t>外环境鼠密度控制水平</w:t>
      </w:r>
      <w:r>
        <w:rPr>
          <w:rFonts w:hint="eastAsia" w:ascii="宋体" w:hAnsi="宋体" w:eastAsia="宋体" w:cs="宋体"/>
          <w:color w:val="auto"/>
          <w:kern w:val="0"/>
          <w:sz w:val="24"/>
          <w:szCs w:val="24"/>
          <w:highlight w:val="none"/>
          <w:lang w:eastAsia="zh-CN"/>
        </w:rPr>
        <w:t>路径指数少于或等于</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灭蚊标准：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rPr>
        <w:t>小型积水蚊虫密度控制水平路径指数小于或等于</w:t>
      </w:r>
      <w:r>
        <w:rPr>
          <w:rFonts w:hint="eastAsia" w:ascii="宋体" w:hAnsi="宋体" w:eastAsia="宋体" w:cs="宋体"/>
          <w:color w:val="auto"/>
          <w:kern w:val="0"/>
          <w:sz w:val="24"/>
          <w:szCs w:val="24"/>
          <w:highlight w:val="none"/>
          <w:lang w:val="en-US" w:eastAsia="zh-CN"/>
        </w:rPr>
        <w:t>0.8；</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②</w:t>
      </w:r>
      <w:r>
        <w:rPr>
          <w:rFonts w:hint="eastAsia" w:ascii="宋体" w:hAnsi="宋体" w:eastAsia="宋体" w:cs="宋体"/>
          <w:color w:val="auto"/>
          <w:kern w:val="0"/>
          <w:sz w:val="24"/>
          <w:szCs w:val="24"/>
          <w:highlight w:val="none"/>
        </w:rPr>
        <w:t>大中型水体蚊虫密度控制水平:采样勺指数小于或等于5%,平均每阳性勺少于8只蚊虫幼虫和蛹</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③</w:t>
      </w:r>
      <w:r>
        <w:rPr>
          <w:rFonts w:hint="eastAsia" w:ascii="宋体" w:hAnsi="宋体" w:eastAsia="宋体" w:cs="宋体"/>
          <w:color w:val="auto"/>
          <w:kern w:val="0"/>
          <w:sz w:val="24"/>
          <w:szCs w:val="24"/>
          <w:highlight w:val="none"/>
          <w:lang w:eastAsia="zh-CN"/>
        </w:rPr>
        <w:t>外环境蚊虫密度控制水平停落指数小于或等于</w:t>
      </w: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灭蝇标准：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rPr>
        <w:t>加工、销售直接入口食品的场所不得有蝇；</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②</w:t>
      </w:r>
      <w:r>
        <w:rPr>
          <w:rFonts w:hint="eastAsia" w:ascii="宋体" w:hAnsi="宋体" w:eastAsia="宋体" w:cs="宋体"/>
          <w:color w:val="auto"/>
          <w:kern w:val="0"/>
          <w:sz w:val="24"/>
          <w:szCs w:val="24"/>
          <w:highlight w:val="none"/>
        </w:rPr>
        <w:t>室内成蝇密度控制水平有蝇房间阳性率小于或等于9%,阳性间蝇密度小于或等于3只/间</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③</w:t>
      </w:r>
      <w:r>
        <w:rPr>
          <w:rFonts w:hint="eastAsia" w:ascii="宋体" w:hAnsi="宋体" w:eastAsia="宋体" w:cs="宋体"/>
          <w:color w:val="auto"/>
          <w:kern w:val="0"/>
          <w:sz w:val="24"/>
          <w:szCs w:val="24"/>
          <w:highlight w:val="none"/>
          <w:lang w:eastAsia="zh-CN"/>
        </w:rPr>
        <w:t>室外蝇类孳生地密度控制水平蝇类孳生地阳性率小于或等于5%；</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④</w:t>
      </w:r>
      <w:r>
        <w:rPr>
          <w:rFonts w:hint="eastAsia" w:ascii="宋体" w:hAnsi="宋体" w:eastAsia="宋体" w:cs="宋体"/>
          <w:color w:val="auto"/>
          <w:kern w:val="0"/>
          <w:sz w:val="24"/>
          <w:szCs w:val="24"/>
          <w:highlight w:val="none"/>
          <w:lang w:eastAsia="zh-CN"/>
        </w:rPr>
        <w:t>防蝇设施合格率大于或等于90%。</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灭蟑标准：</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rPr>
        <w:t>蜚蠊密度控制水平蜚蠊成若虫侵害率小于或等于5%,平均每阳性间(处)成若虫数小竦小于或等于10只,大蠊小于或等于5只</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②</w:t>
      </w:r>
      <w:r>
        <w:rPr>
          <w:rFonts w:hint="eastAsia" w:ascii="宋体" w:hAnsi="宋体" w:eastAsia="宋体" w:cs="宋体"/>
          <w:color w:val="auto"/>
          <w:kern w:val="0"/>
          <w:sz w:val="24"/>
          <w:szCs w:val="24"/>
          <w:highlight w:val="none"/>
          <w:lang w:eastAsia="zh-CN"/>
        </w:rPr>
        <w:t>蜚</w:t>
      </w:r>
      <w:r>
        <w:rPr>
          <w:rFonts w:hint="eastAsia" w:ascii="宋体" w:hAnsi="宋体" w:eastAsia="宋体" w:cs="宋体"/>
          <w:color w:val="auto"/>
          <w:kern w:val="0"/>
          <w:sz w:val="24"/>
          <w:szCs w:val="24"/>
          <w:highlight w:val="none"/>
        </w:rPr>
        <w:t>蠊</w:t>
      </w:r>
      <w:r>
        <w:rPr>
          <w:rFonts w:hint="eastAsia" w:ascii="宋体" w:hAnsi="宋体" w:eastAsia="宋体" w:cs="宋体"/>
          <w:color w:val="auto"/>
          <w:kern w:val="0"/>
          <w:sz w:val="24"/>
          <w:szCs w:val="24"/>
          <w:highlight w:val="none"/>
          <w:lang w:eastAsia="zh-CN"/>
        </w:rPr>
        <w:t>卵鞘查获率小于或等于3%,平均每阳性间(处)卵鞘数小于或等于8只；</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③</w:t>
      </w:r>
      <w:r>
        <w:rPr>
          <w:rFonts w:hint="eastAsia" w:ascii="宋体" w:hAnsi="宋体" w:eastAsia="宋体" w:cs="宋体"/>
          <w:color w:val="auto"/>
          <w:kern w:val="0"/>
          <w:sz w:val="24"/>
          <w:szCs w:val="24"/>
          <w:highlight w:val="none"/>
          <w:lang w:eastAsia="zh-CN"/>
        </w:rPr>
        <w:t>蟑迹查获率小于或等于7%。</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群众满意率达90%</w:t>
      </w:r>
      <w:r>
        <w:rPr>
          <w:rFonts w:hint="eastAsia" w:ascii="宋体" w:hAnsi="宋体" w:eastAsia="宋体" w:cs="宋体"/>
          <w:color w:val="auto"/>
          <w:kern w:val="0"/>
          <w:sz w:val="24"/>
          <w:szCs w:val="24"/>
          <w:highlight w:val="none"/>
          <w:lang w:eastAsia="zh-CN"/>
        </w:rPr>
        <w:t>及以上</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36" w:lineRule="auto"/>
        <w:jc w:val="left"/>
        <w:textAlignment w:val="auto"/>
        <w:rPr>
          <w:rFonts w:hint="eastAsia" w:ascii="宋体" w:hAnsi="宋体" w:eastAsia="宋体" w:cs="宋体"/>
          <w:b/>
          <w:bCs/>
          <w:color w:val="auto"/>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line="336" w:lineRule="auto"/>
        <w:jc w:val="left"/>
        <w:textAlignment w:val="auto"/>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三、</w:t>
      </w:r>
      <w:r>
        <w:rPr>
          <w:rFonts w:hint="eastAsia" w:ascii="宋体" w:hAnsi="宋体" w:eastAsia="宋体" w:cs="宋体"/>
          <w:b/>
          <w:bCs/>
          <w:color w:val="auto"/>
          <w:kern w:val="0"/>
          <w:sz w:val="24"/>
          <w:szCs w:val="24"/>
          <w:highlight w:val="none"/>
          <w:lang w:val="en-US" w:eastAsia="zh-CN"/>
        </w:rPr>
        <w:t>中标人的</w:t>
      </w:r>
      <w:r>
        <w:rPr>
          <w:rFonts w:hint="eastAsia" w:ascii="宋体" w:hAnsi="宋体" w:eastAsia="宋体" w:cs="宋体"/>
          <w:b/>
          <w:bCs/>
          <w:color w:val="auto"/>
          <w:kern w:val="0"/>
          <w:sz w:val="24"/>
          <w:szCs w:val="24"/>
          <w:highlight w:val="none"/>
          <w:lang w:eastAsia="zh-CN"/>
        </w:rPr>
        <w:t>工作要求</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1、中标人按要求完成服务后，有权及时获得采购人的服务费用</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2、中标人须根据采购人的需要，按中标方案及时提供服务，并遵守采购人有关规章制度，确保在服务期内的灭鼠杀虫质量控制在采购人要求范围内</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中标人服务人员必须持有《除害消杀服务证》；按照规定统一着装，服装上公司标识明显，上装须有安全反光标志，佩戴工作帽；严格遵守除四害技术操作规程，文明作业，并填写除四害服务记录卡作为每次服务的凭证。如有违反，每发现一次扣3000元，并开具整改通知书</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中标人每月定期向采购人上报每月消杀进度记录、消杀药械消耗记录、下月消杀方案和除四害器械设置地点平面图等资料；及时向采购人上报年度消杀方案及季度、半年度、年度小结；及时向采购人上报高峰期及突发性四害消杀方案和小结。如有违反，每少报一项资料扣3000元，并开具整改通知书</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协助街道爱卫办开展对村、社区的除四害消杀服务指导，做好技术支持，整理、完善除四害资料；帮助“五小”单位消杀后及时清理四害尸体；帮助服务单位健全“四害”防制设施，提出改进意见。未指导街道社区做好消杀服务和帮助“五小”单位清理四害尸体的，每发现一次扣3000元，并开具整改通知书</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6、开展杀灭前后四害密度监测，完善密度监测资料。未开展四害密度监测或监测不规范的，扣5万元，并开具整改通知书，责令重新开展监测；监测资料不全的，扣3000元，并开具整改通知书</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所使用的灭鼠杀虫药物按国家规定或全国爱卫会专家委员会推荐和认定的药物，严禁使用急性灭鼠药或其他明文禁用药物。如发现中标人使用国家禁用的药物，采购人有权立即终止合同，所有责任由中标人承担</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8、做到安全作业。在易发生人畜误食的场所，应设中文警示标识；在公共环境作业时应规范设置作业隔离区，警示标识明显；服务期间发生人畜药物中毒事故或其它人身财产损害的由中标人自行负责</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在委托服务期内，中标人未按中标方案开展杀灭活动的、或未能通过县爱卫办检查考核及上级爱卫会的除四害督查、县疾控中心的季度检查、市第三方监测评估、国家卫生县城复审和病媒生物控制水平评估等有关考核检查的，视作违约，相关责任由中标人承担，采购人有权终止合同。</w:t>
      </w:r>
      <w:r>
        <w:rPr>
          <w:rFonts w:hint="eastAsia" w:ascii="宋体" w:hAnsi="宋体" w:eastAsia="宋体" w:cs="宋体"/>
          <w:color w:val="auto"/>
          <w:kern w:val="0"/>
          <w:sz w:val="24"/>
          <w:szCs w:val="24"/>
          <w:highlight w:val="none"/>
          <w:lang w:val="en-US" w:eastAsia="zh-CN"/>
        </w:rPr>
        <w:br w:type="textWrapping"/>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en-US" w:eastAsia="zh-CN"/>
        </w:rPr>
        <w:t>10</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中标人违反相关规定被卫生行政部门处罚且整改不到位的，视作违约，相关责任由中标人承担，采购人有权终止合同。</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2" w:firstLineChars="200"/>
        <w:jc w:val="left"/>
        <w:textAlignment w:val="auto"/>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val="en-US" w:eastAsia="zh-CN"/>
        </w:rPr>
        <w:t>注：</w:t>
      </w:r>
      <w:r>
        <w:rPr>
          <w:rFonts w:hint="eastAsia" w:ascii="宋体" w:hAnsi="宋体" w:eastAsia="宋体" w:cs="宋体"/>
          <w:b/>
          <w:bCs/>
          <w:color w:val="auto"/>
          <w:kern w:val="0"/>
          <w:sz w:val="24"/>
          <w:szCs w:val="24"/>
          <w:highlight w:val="none"/>
          <w:lang w:eastAsia="zh-CN"/>
        </w:rPr>
        <w:t>以上条款在项目实施过程中累计违反3次，合计收到3张整改通知书则</w:t>
      </w:r>
      <w:r>
        <w:rPr>
          <w:rFonts w:hint="eastAsia" w:ascii="宋体" w:hAnsi="宋体" w:eastAsia="宋体" w:cs="宋体"/>
          <w:b/>
          <w:bCs/>
          <w:color w:val="auto"/>
          <w:kern w:val="0"/>
          <w:sz w:val="24"/>
          <w:szCs w:val="24"/>
          <w:highlight w:val="none"/>
          <w:lang w:val="en-US" w:eastAsia="zh-CN"/>
        </w:rPr>
        <w:t>采购人</w:t>
      </w:r>
      <w:r>
        <w:rPr>
          <w:rFonts w:hint="eastAsia" w:ascii="宋体" w:hAnsi="宋体" w:eastAsia="宋体" w:cs="宋体"/>
          <w:b/>
          <w:bCs/>
          <w:color w:val="auto"/>
          <w:kern w:val="0"/>
          <w:sz w:val="24"/>
          <w:szCs w:val="24"/>
          <w:highlight w:val="none"/>
          <w:lang w:eastAsia="zh-CN"/>
        </w:rPr>
        <w:t>有权提前中止合同，并列入不良供应商名单；以上整改活动产生的费用由</w:t>
      </w:r>
      <w:r>
        <w:rPr>
          <w:rFonts w:hint="eastAsia" w:ascii="宋体" w:hAnsi="宋体" w:eastAsia="宋体" w:cs="宋体"/>
          <w:b/>
          <w:bCs/>
          <w:color w:val="auto"/>
          <w:kern w:val="0"/>
          <w:sz w:val="24"/>
          <w:szCs w:val="24"/>
          <w:highlight w:val="none"/>
          <w:lang w:val="en-US" w:eastAsia="zh-CN"/>
        </w:rPr>
        <w:t>中标人</w:t>
      </w:r>
      <w:r>
        <w:rPr>
          <w:rFonts w:hint="eastAsia" w:ascii="宋体" w:hAnsi="宋体" w:eastAsia="宋体" w:cs="宋体"/>
          <w:b/>
          <w:bCs/>
          <w:color w:val="auto"/>
          <w:kern w:val="0"/>
          <w:sz w:val="24"/>
          <w:szCs w:val="24"/>
          <w:highlight w:val="none"/>
          <w:lang w:eastAsia="zh-CN"/>
        </w:rPr>
        <w:t>承担。</w:t>
      </w:r>
    </w:p>
    <w:p>
      <w:pPr>
        <w:keepNext w:val="0"/>
        <w:keepLines w:val="0"/>
        <w:pageBreakBefore w:val="0"/>
        <w:widowControl w:val="0"/>
        <w:kinsoku/>
        <w:wordWrap/>
        <w:overflowPunct/>
        <w:topLinePunct w:val="0"/>
        <w:autoSpaceDE w:val="0"/>
        <w:autoSpaceDN w:val="0"/>
        <w:bidi w:val="0"/>
        <w:adjustRightInd w:val="0"/>
        <w:snapToGrid/>
        <w:spacing w:line="336" w:lineRule="auto"/>
        <w:jc w:val="left"/>
        <w:textAlignment w:val="auto"/>
        <w:rPr>
          <w:rFonts w:hint="eastAsia" w:ascii="宋体" w:hAnsi="宋体" w:eastAsia="宋体" w:cs="宋体"/>
          <w:b/>
          <w:bCs/>
          <w:color w:val="auto"/>
          <w:kern w:val="0"/>
          <w:sz w:val="24"/>
          <w:szCs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36" w:lineRule="auto"/>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eastAsia="zh-CN"/>
        </w:rPr>
        <w:t>四、</w:t>
      </w:r>
      <w:r>
        <w:rPr>
          <w:rFonts w:hint="eastAsia" w:ascii="宋体" w:hAnsi="宋体" w:eastAsia="宋体" w:cs="宋体"/>
          <w:b/>
          <w:bCs/>
          <w:color w:val="auto"/>
          <w:kern w:val="0"/>
          <w:sz w:val="24"/>
          <w:szCs w:val="24"/>
          <w:highlight w:val="none"/>
        </w:rPr>
        <w:t>其他要求</w:t>
      </w:r>
    </w:p>
    <w:p>
      <w:pPr>
        <w:keepNext w:val="0"/>
        <w:keepLines w:val="0"/>
        <w:pageBreakBefore w:val="0"/>
        <w:widowControl w:val="0"/>
        <w:tabs>
          <w:tab w:val="left" w:pos="2293"/>
        </w:tabs>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w:t>
      </w:r>
      <w:r>
        <w:rPr>
          <w:rFonts w:hint="eastAsia" w:ascii="宋体" w:hAnsi="宋体" w:eastAsia="宋体" w:cs="宋体"/>
          <w:color w:val="auto"/>
          <w:kern w:val="0"/>
          <w:sz w:val="24"/>
          <w:szCs w:val="24"/>
          <w:highlight w:val="none"/>
          <w:lang w:val="en-US" w:eastAsia="zh-CN"/>
        </w:rPr>
        <w:t>根据招标文件的项目要求，请各供应商根据项目特点自行提供相应的项目实施方案、企业赔付能力、列明拟投入的消杀人员配备情况、明确拟投入车辆配置、设备配置、制定完善的应急预案、制定科学合理的药物中毒预防及处理方案、提供除“四害”宣传计划、合理化建议、编制体现针对本项目服务能力的说明、提供服务便捷性的相关方案；提供履约能力、业绩相关证明材料</w:t>
      </w:r>
      <w:r>
        <w:rPr>
          <w:rFonts w:hint="eastAsia" w:ascii="宋体" w:hAnsi="宋体" w:eastAsia="宋体" w:cs="宋体"/>
          <w:color w:val="auto"/>
          <w:kern w:val="0"/>
          <w:sz w:val="24"/>
          <w:szCs w:val="24"/>
          <w:highlight w:val="none"/>
        </w:rPr>
        <w:t>；</w:t>
      </w:r>
    </w:p>
    <w:p>
      <w:pPr>
        <w:keepNext w:val="0"/>
        <w:keepLines w:val="0"/>
        <w:pageBreakBefore w:val="0"/>
        <w:widowControl w:val="0"/>
        <w:tabs>
          <w:tab w:val="left" w:pos="2293"/>
        </w:tabs>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（二）中标</w:t>
      </w:r>
      <w:r>
        <w:rPr>
          <w:rFonts w:hint="eastAsia" w:ascii="宋体" w:hAnsi="宋体" w:eastAsia="宋体" w:cs="宋体"/>
          <w:color w:val="auto"/>
          <w:kern w:val="0"/>
          <w:sz w:val="24"/>
          <w:szCs w:val="24"/>
          <w:highlight w:val="none"/>
          <w:lang w:eastAsia="zh-CN"/>
        </w:rPr>
        <w:t>人</w:t>
      </w:r>
      <w:r>
        <w:rPr>
          <w:rFonts w:hint="eastAsia" w:ascii="宋体" w:hAnsi="宋体" w:eastAsia="宋体" w:cs="宋体"/>
          <w:color w:val="auto"/>
          <w:kern w:val="0"/>
          <w:sz w:val="24"/>
          <w:szCs w:val="24"/>
          <w:highlight w:val="none"/>
        </w:rPr>
        <w:t>不得转包、分包</w:t>
      </w:r>
      <w:r>
        <w:rPr>
          <w:rFonts w:hint="eastAsia" w:ascii="宋体" w:hAnsi="宋体" w:eastAsia="宋体" w:cs="宋体"/>
          <w:color w:val="auto"/>
          <w:kern w:val="0"/>
          <w:sz w:val="24"/>
          <w:szCs w:val="24"/>
          <w:highlight w:val="none"/>
          <w:lang w:eastAsia="zh-CN"/>
        </w:rPr>
        <w:t>或</w:t>
      </w:r>
      <w:r>
        <w:rPr>
          <w:rFonts w:hint="eastAsia" w:ascii="宋体" w:hAnsi="宋体" w:eastAsia="宋体" w:cs="宋体"/>
          <w:color w:val="auto"/>
          <w:kern w:val="0"/>
          <w:sz w:val="24"/>
          <w:szCs w:val="24"/>
          <w:highlight w:val="none"/>
        </w:rPr>
        <w:t>与他人合包；</w:t>
      </w:r>
    </w:p>
    <w:p>
      <w:pPr>
        <w:keepNext w:val="0"/>
        <w:keepLines w:val="0"/>
        <w:pageBreakBefore w:val="0"/>
        <w:widowControl w:val="0"/>
        <w:tabs>
          <w:tab w:val="left" w:pos="2293"/>
        </w:tabs>
        <w:kinsoku/>
        <w:wordWrap/>
        <w:overflowPunct/>
        <w:topLinePunct w:val="0"/>
        <w:autoSpaceDE w:val="0"/>
        <w:autoSpaceDN w:val="0"/>
        <w:bidi w:val="0"/>
        <w:adjustRightInd w:val="0"/>
        <w:snapToGrid/>
        <w:spacing w:line="336"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（三）必须通过上级爱卫办的监督检查、第三方评估及城区创卫巩固复查工作；</w:t>
      </w:r>
    </w:p>
    <w:p>
      <w:pPr>
        <w:keepNext w:val="0"/>
        <w:keepLines w:val="0"/>
        <w:pageBreakBefore w:val="0"/>
        <w:widowControl w:val="0"/>
        <w:tabs>
          <w:tab w:val="left" w:pos="2293"/>
        </w:tabs>
        <w:kinsoku/>
        <w:wordWrap/>
        <w:overflowPunct/>
        <w:topLinePunct w:val="0"/>
        <w:autoSpaceDE w:val="0"/>
        <w:autoSpaceDN w:val="0"/>
        <w:bidi w:val="0"/>
        <w:adjustRightInd w:val="0"/>
        <w:snapToGrid/>
        <w:spacing w:line="336" w:lineRule="auto"/>
        <w:ind w:firstLine="470" w:firstLineChars="196"/>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（四）必须通过由县爱卫办组织的专业机构对服务项目的质量监测。</w:t>
      </w:r>
    </w:p>
    <w:p>
      <w:pPr>
        <w:keepNext w:val="0"/>
        <w:keepLines w:val="0"/>
        <w:pageBreakBefore w:val="0"/>
        <w:widowControl w:val="0"/>
        <w:tabs>
          <w:tab w:val="left" w:pos="2293"/>
        </w:tabs>
        <w:kinsoku/>
        <w:wordWrap/>
        <w:overflowPunct/>
        <w:topLinePunct w:val="0"/>
        <w:autoSpaceDE w:val="0"/>
        <w:autoSpaceDN w:val="0"/>
        <w:bidi w:val="0"/>
        <w:adjustRightInd w:val="0"/>
        <w:snapToGrid/>
        <w:spacing w:line="336" w:lineRule="auto"/>
        <w:ind w:firstLine="470" w:firstLineChars="196"/>
        <w:jc w:val="left"/>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（五）续签合同：合同一年一签（续签次数最多2次），续签合同价格与本次中标价相同，并达到以下要求：如期完成</w:t>
      </w:r>
      <w:r>
        <w:rPr>
          <w:rFonts w:hint="eastAsia" w:ascii="宋体" w:hAnsi="宋体" w:eastAsia="宋体" w:cs="宋体"/>
          <w:color w:val="auto"/>
          <w:kern w:val="0"/>
          <w:sz w:val="24"/>
          <w:szCs w:val="24"/>
          <w:highlight w:val="none"/>
          <w:lang w:val="en-US" w:eastAsia="zh-CN"/>
        </w:rPr>
        <w:t>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年（或上一年度）项目，期间未发生重大药物使用安全事故；通过市有害生物防制协会年终考核；部门项目预算获得财政通过；继续具备本项目</w:t>
      </w:r>
      <w:r>
        <w:rPr>
          <w:rFonts w:hint="eastAsia" w:ascii="宋体" w:hAnsi="宋体" w:eastAsia="宋体" w:cs="宋体"/>
          <w:color w:val="auto"/>
          <w:kern w:val="0"/>
          <w:sz w:val="24"/>
          <w:szCs w:val="24"/>
          <w:highlight w:val="none"/>
          <w:lang w:eastAsia="zh-CN"/>
        </w:rPr>
        <w:t>中标</w:t>
      </w:r>
      <w:r>
        <w:rPr>
          <w:rFonts w:hint="eastAsia" w:ascii="宋体" w:hAnsi="宋体" w:eastAsia="宋体" w:cs="宋体"/>
          <w:color w:val="auto"/>
          <w:kern w:val="0"/>
          <w:sz w:val="24"/>
          <w:szCs w:val="24"/>
          <w:highlight w:val="none"/>
        </w:rPr>
        <w:t>人资格。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textWrapping"/>
      </w:r>
      <w:bookmarkStart w:id="37" w:name="_Toc1865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8" w:name="_Toc184308055"/>
      <w:bookmarkEnd w:id="38"/>
      <w:bookmarkStart w:id="39" w:name="_Toc184308041"/>
      <w:bookmarkEnd w:id="39"/>
      <w:bookmarkStart w:id="40" w:name="_Toc184308073"/>
      <w:bookmarkEnd w:id="40"/>
      <w:bookmarkStart w:id="41" w:name="_Toc184312067"/>
      <w:bookmarkEnd w:id="41"/>
      <w:bookmarkStart w:id="42" w:name="_Toc184308057"/>
      <w:bookmarkEnd w:id="42"/>
      <w:bookmarkStart w:id="43" w:name="_Toc184314424"/>
      <w:bookmarkEnd w:id="43"/>
      <w:bookmarkStart w:id="44" w:name="_Toc184310291"/>
      <w:bookmarkEnd w:id="44"/>
      <w:bookmarkStart w:id="45" w:name="_Toc184308076"/>
      <w:bookmarkEnd w:id="45"/>
      <w:bookmarkStart w:id="46" w:name="_Toc184310282"/>
      <w:bookmarkEnd w:id="46"/>
      <w:bookmarkStart w:id="47" w:name="_Toc184312069"/>
      <w:bookmarkEnd w:id="47"/>
      <w:bookmarkStart w:id="48" w:name="_Toc184314421"/>
      <w:bookmarkEnd w:id="48"/>
      <w:bookmarkStart w:id="49" w:name="_Toc184313258"/>
      <w:bookmarkEnd w:id="49"/>
      <w:bookmarkStart w:id="50" w:name="_Toc184313238"/>
      <w:bookmarkEnd w:id="50"/>
      <w:bookmarkStart w:id="51" w:name="_Toc184313242"/>
      <w:bookmarkEnd w:id="51"/>
      <w:bookmarkStart w:id="52" w:name="_Toc184313281"/>
      <w:bookmarkEnd w:id="52"/>
      <w:bookmarkStart w:id="53" w:name="_Toc184314417"/>
      <w:bookmarkEnd w:id="53"/>
      <w:bookmarkStart w:id="54" w:name="_Toc184312092"/>
      <w:bookmarkEnd w:id="54"/>
      <w:bookmarkStart w:id="55" w:name="_Toc184313249"/>
      <w:bookmarkEnd w:id="55"/>
      <w:bookmarkStart w:id="56" w:name="_Toc184313269"/>
      <w:bookmarkEnd w:id="56"/>
      <w:bookmarkStart w:id="57" w:name="_Toc184310286"/>
      <w:bookmarkEnd w:id="57"/>
      <w:bookmarkStart w:id="58" w:name="_Toc184310303"/>
      <w:bookmarkEnd w:id="58"/>
      <w:bookmarkStart w:id="59" w:name="_Toc184313302"/>
      <w:bookmarkEnd w:id="59"/>
      <w:bookmarkStart w:id="60" w:name="_Toc184310301"/>
      <w:bookmarkEnd w:id="60"/>
      <w:bookmarkStart w:id="61" w:name="_Toc184313261"/>
      <w:bookmarkEnd w:id="61"/>
      <w:bookmarkStart w:id="62" w:name="_Toc184312085"/>
      <w:bookmarkEnd w:id="62"/>
      <w:bookmarkStart w:id="63" w:name="_Toc184308080"/>
      <w:bookmarkEnd w:id="63"/>
      <w:bookmarkStart w:id="64" w:name="_Toc184314467"/>
      <w:bookmarkEnd w:id="64"/>
      <w:bookmarkStart w:id="65" w:name="_Toc184310308"/>
      <w:bookmarkEnd w:id="65"/>
      <w:bookmarkStart w:id="66" w:name="_Toc184313309"/>
      <w:bookmarkEnd w:id="66"/>
      <w:bookmarkStart w:id="67" w:name="_Toc184310306"/>
      <w:bookmarkEnd w:id="67"/>
      <w:bookmarkStart w:id="68" w:name="_Toc184313243"/>
      <w:bookmarkEnd w:id="68"/>
      <w:bookmarkStart w:id="69" w:name="_Toc184314457"/>
      <w:bookmarkEnd w:id="69"/>
      <w:bookmarkStart w:id="70" w:name="_Toc184308095"/>
      <w:bookmarkEnd w:id="70"/>
      <w:bookmarkStart w:id="71" w:name="_Toc184310338"/>
      <w:bookmarkEnd w:id="71"/>
      <w:bookmarkStart w:id="72" w:name="_Toc184308054"/>
      <w:bookmarkEnd w:id="72"/>
      <w:bookmarkStart w:id="73" w:name="_Toc184310330"/>
      <w:bookmarkEnd w:id="73"/>
      <w:bookmarkStart w:id="74" w:name="_Toc184312116"/>
      <w:bookmarkEnd w:id="74"/>
      <w:bookmarkStart w:id="75" w:name="_Toc184314474"/>
      <w:bookmarkEnd w:id="75"/>
      <w:bookmarkStart w:id="76" w:name="_Toc184314473"/>
      <w:bookmarkEnd w:id="76"/>
      <w:bookmarkStart w:id="77" w:name="_Toc184313256"/>
      <w:bookmarkEnd w:id="77"/>
      <w:bookmarkStart w:id="78" w:name="_Toc184308093"/>
      <w:bookmarkEnd w:id="78"/>
      <w:bookmarkStart w:id="79" w:name="_Toc184314478"/>
      <w:bookmarkEnd w:id="79"/>
      <w:bookmarkStart w:id="80" w:name="_Toc184312110"/>
      <w:bookmarkEnd w:id="80"/>
      <w:bookmarkStart w:id="81" w:name="_Toc184308060"/>
      <w:bookmarkEnd w:id="81"/>
      <w:bookmarkStart w:id="82" w:name="_Toc184310327"/>
      <w:bookmarkEnd w:id="82"/>
      <w:bookmarkStart w:id="83" w:name="_Toc184312102"/>
      <w:bookmarkEnd w:id="83"/>
      <w:bookmarkStart w:id="84" w:name="_Toc184310290"/>
      <w:bookmarkEnd w:id="84"/>
      <w:bookmarkStart w:id="85" w:name="_Toc184312120"/>
      <w:bookmarkEnd w:id="85"/>
      <w:bookmarkStart w:id="86" w:name="_Toc184313291"/>
      <w:bookmarkEnd w:id="86"/>
      <w:bookmarkStart w:id="87" w:name="_Toc184310279"/>
      <w:bookmarkEnd w:id="87"/>
      <w:bookmarkStart w:id="88" w:name="_Toc184314415"/>
      <w:bookmarkEnd w:id="88"/>
      <w:bookmarkStart w:id="89" w:name="_Toc184308094"/>
      <w:bookmarkEnd w:id="89"/>
      <w:bookmarkStart w:id="90" w:name="_Toc184308085"/>
      <w:bookmarkEnd w:id="90"/>
      <w:bookmarkStart w:id="91" w:name="_Toc184314440"/>
      <w:bookmarkEnd w:id="91"/>
      <w:bookmarkStart w:id="92" w:name="_Toc184310323"/>
      <w:bookmarkEnd w:id="92"/>
      <w:bookmarkStart w:id="93" w:name="_Toc184312125"/>
      <w:bookmarkEnd w:id="93"/>
      <w:bookmarkStart w:id="94" w:name="_Toc184310285"/>
      <w:bookmarkEnd w:id="94"/>
      <w:bookmarkStart w:id="95" w:name="_Toc184312090"/>
      <w:bookmarkEnd w:id="95"/>
      <w:bookmarkStart w:id="96" w:name="_Toc184313264"/>
      <w:bookmarkEnd w:id="96"/>
      <w:bookmarkStart w:id="97" w:name="_Toc184314459"/>
      <w:bookmarkEnd w:id="97"/>
      <w:bookmarkStart w:id="98" w:name="_Toc184310295"/>
      <w:bookmarkEnd w:id="98"/>
      <w:bookmarkStart w:id="99" w:name="_Toc184314463"/>
      <w:bookmarkEnd w:id="99"/>
      <w:bookmarkStart w:id="100" w:name="_Toc184312080"/>
      <w:bookmarkEnd w:id="100"/>
      <w:bookmarkStart w:id="101" w:name="_Toc184314468"/>
      <w:bookmarkEnd w:id="101"/>
      <w:bookmarkStart w:id="102" w:name="_Toc184308067"/>
      <w:bookmarkEnd w:id="102"/>
      <w:bookmarkStart w:id="103" w:name="_Toc184310313"/>
      <w:bookmarkEnd w:id="103"/>
      <w:bookmarkStart w:id="104" w:name="_Toc184312137"/>
      <w:bookmarkEnd w:id="104"/>
      <w:bookmarkStart w:id="105" w:name="_Toc184310326"/>
      <w:bookmarkEnd w:id="105"/>
      <w:bookmarkStart w:id="106" w:name="_Toc184310341"/>
      <w:bookmarkEnd w:id="106"/>
      <w:bookmarkStart w:id="107" w:name="_Toc184313266"/>
      <w:bookmarkEnd w:id="107"/>
      <w:bookmarkStart w:id="108" w:name="_Toc184313253"/>
      <w:bookmarkEnd w:id="108"/>
      <w:bookmarkStart w:id="109" w:name="_Toc184314451"/>
      <w:bookmarkEnd w:id="109"/>
      <w:bookmarkStart w:id="110" w:name="_Toc184310300"/>
      <w:bookmarkEnd w:id="110"/>
      <w:bookmarkStart w:id="111" w:name="_Toc184308045"/>
      <w:bookmarkEnd w:id="111"/>
      <w:bookmarkStart w:id="112" w:name="_Toc184310339"/>
      <w:bookmarkEnd w:id="112"/>
      <w:bookmarkStart w:id="113" w:name="_Toc184312105"/>
      <w:bookmarkEnd w:id="113"/>
      <w:bookmarkStart w:id="114" w:name="_Toc184312078"/>
      <w:bookmarkEnd w:id="114"/>
      <w:bookmarkStart w:id="115" w:name="_Toc184310321"/>
      <w:bookmarkEnd w:id="115"/>
      <w:bookmarkStart w:id="116" w:name="_Toc184310307"/>
      <w:bookmarkEnd w:id="116"/>
      <w:bookmarkStart w:id="117" w:name="_Toc184308039"/>
      <w:bookmarkEnd w:id="117"/>
      <w:bookmarkStart w:id="118" w:name="_Toc184308044"/>
      <w:bookmarkEnd w:id="118"/>
      <w:bookmarkStart w:id="119" w:name="_Toc184314419"/>
      <w:bookmarkEnd w:id="119"/>
      <w:bookmarkStart w:id="120" w:name="_Toc184314413"/>
      <w:bookmarkEnd w:id="120"/>
      <w:bookmarkStart w:id="121" w:name="_Toc184308068"/>
      <w:bookmarkEnd w:id="121"/>
      <w:bookmarkStart w:id="122" w:name="_Toc184314453"/>
      <w:bookmarkEnd w:id="122"/>
      <w:bookmarkStart w:id="123" w:name="_Toc184312103"/>
      <w:bookmarkEnd w:id="123"/>
      <w:bookmarkStart w:id="124" w:name="_Toc184310288"/>
      <w:bookmarkEnd w:id="124"/>
      <w:bookmarkStart w:id="125" w:name="_Toc184310278"/>
      <w:bookmarkEnd w:id="125"/>
      <w:bookmarkStart w:id="126" w:name="_Toc184314438"/>
      <w:bookmarkEnd w:id="126"/>
      <w:bookmarkStart w:id="127" w:name="_Toc184313301"/>
      <w:bookmarkEnd w:id="127"/>
      <w:bookmarkStart w:id="128" w:name="_Toc184310298"/>
      <w:bookmarkEnd w:id="128"/>
      <w:bookmarkStart w:id="129" w:name="_Toc184312089"/>
      <w:bookmarkEnd w:id="129"/>
      <w:bookmarkStart w:id="130" w:name="_Toc184310315"/>
      <w:bookmarkEnd w:id="130"/>
      <w:bookmarkStart w:id="131" w:name="_Toc184314462"/>
      <w:bookmarkEnd w:id="131"/>
      <w:bookmarkStart w:id="132" w:name="_Toc184314449"/>
      <w:bookmarkEnd w:id="132"/>
      <w:bookmarkStart w:id="133" w:name="_Toc184308052"/>
      <w:bookmarkEnd w:id="133"/>
      <w:bookmarkStart w:id="134" w:name="_Toc184313273"/>
      <w:bookmarkEnd w:id="134"/>
      <w:bookmarkStart w:id="135" w:name="_Toc184313239"/>
      <w:bookmarkEnd w:id="135"/>
      <w:bookmarkStart w:id="136" w:name="_Toc184308050"/>
      <w:bookmarkEnd w:id="136"/>
      <w:bookmarkStart w:id="137" w:name="_Toc184312108"/>
      <w:bookmarkEnd w:id="137"/>
      <w:bookmarkStart w:id="138" w:name="_Toc184314444"/>
      <w:bookmarkEnd w:id="138"/>
      <w:bookmarkStart w:id="139" w:name="_Toc184313274"/>
      <w:bookmarkEnd w:id="139"/>
      <w:bookmarkStart w:id="140" w:name="_Toc184308104"/>
      <w:bookmarkEnd w:id="140"/>
      <w:bookmarkStart w:id="141" w:name="_Toc184312095"/>
      <w:bookmarkEnd w:id="141"/>
      <w:bookmarkStart w:id="142" w:name="_Toc184313257"/>
      <w:bookmarkEnd w:id="142"/>
      <w:bookmarkStart w:id="143" w:name="_Toc184308078"/>
      <w:bookmarkEnd w:id="143"/>
      <w:bookmarkStart w:id="144" w:name="_Toc184312097"/>
      <w:bookmarkEnd w:id="144"/>
      <w:bookmarkStart w:id="145" w:name="_Toc184310312"/>
      <w:bookmarkEnd w:id="145"/>
      <w:bookmarkStart w:id="146" w:name="_Toc184310333"/>
      <w:bookmarkEnd w:id="146"/>
      <w:bookmarkStart w:id="147" w:name="_Toc184314460"/>
      <w:bookmarkEnd w:id="147"/>
      <w:bookmarkStart w:id="148" w:name="_Toc184310314"/>
      <w:bookmarkEnd w:id="148"/>
      <w:bookmarkStart w:id="149" w:name="_Toc184310331"/>
      <w:bookmarkEnd w:id="149"/>
      <w:bookmarkStart w:id="150" w:name="_Toc184312081"/>
      <w:bookmarkEnd w:id="150"/>
      <w:bookmarkStart w:id="151" w:name="_Toc184312074"/>
      <w:bookmarkEnd w:id="151"/>
      <w:bookmarkStart w:id="152" w:name="_Toc184313287"/>
      <w:bookmarkEnd w:id="152"/>
      <w:bookmarkStart w:id="153" w:name="_Toc184313250"/>
      <w:bookmarkEnd w:id="153"/>
      <w:bookmarkStart w:id="154" w:name="_Toc184310287"/>
      <w:bookmarkEnd w:id="154"/>
      <w:bookmarkStart w:id="155" w:name="_Toc184314461"/>
      <w:bookmarkEnd w:id="155"/>
      <w:bookmarkStart w:id="156" w:name="_Toc184314433"/>
      <w:bookmarkEnd w:id="156"/>
      <w:bookmarkStart w:id="157" w:name="_Toc184310273"/>
      <w:bookmarkEnd w:id="157"/>
      <w:bookmarkStart w:id="158" w:name="_Toc184310319"/>
      <w:bookmarkEnd w:id="158"/>
      <w:bookmarkStart w:id="159" w:name="_Toc184308043"/>
      <w:bookmarkEnd w:id="159"/>
      <w:bookmarkStart w:id="160" w:name="_Toc184314465"/>
      <w:bookmarkEnd w:id="160"/>
      <w:bookmarkStart w:id="161" w:name="_Toc184308108"/>
      <w:bookmarkEnd w:id="161"/>
      <w:bookmarkStart w:id="162" w:name="_Toc184314431"/>
      <w:bookmarkEnd w:id="162"/>
      <w:bookmarkStart w:id="163" w:name="_Toc184312130"/>
      <w:bookmarkEnd w:id="163"/>
      <w:bookmarkStart w:id="164" w:name="_Toc184313307"/>
      <w:bookmarkEnd w:id="164"/>
      <w:bookmarkStart w:id="165" w:name="_Toc184312100"/>
      <w:bookmarkEnd w:id="165"/>
      <w:bookmarkStart w:id="166" w:name="_Toc184310274"/>
      <w:bookmarkEnd w:id="166"/>
      <w:bookmarkStart w:id="167" w:name="_Toc184314423"/>
      <w:bookmarkEnd w:id="167"/>
      <w:bookmarkStart w:id="168" w:name="_Toc184314482"/>
      <w:bookmarkEnd w:id="168"/>
      <w:bookmarkStart w:id="169" w:name="_Toc184308098"/>
      <w:bookmarkEnd w:id="169"/>
      <w:bookmarkStart w:id="170" w:name="_Toc184312086"/>
      <w:bookmarkEnd w:id="170"/>
      <w:bookmarkStart w:id="171" w:name="_Toc184314410"/>
      <w:bookmarkEnd w:id="171"/>
      <w:bookmarkStart w:id="172" w:name="_Toc184308072"/>
      <w:bookmarkEnd w:id="172"/>
      <w:bookmarkStart w:id="173" w:name="_Toc184312094"/>
      <w:bookmarkEnd w:id="173"/>
      <w:bookmarkStart w:id="174" w:name="_Toc184312084"/>
      <w:bookmarkEnd w:id="174"/>
      <w:bookmarkStart w:id="175" w:name="_Toc184313277"/>
      <w:bookmarkEnd w:id="175"/>
      <w:bookmarkStart w:id="176" w:name="_Toc184308082"/>
      <w:bookmarkEnd w:id="176"/>
      <w:bookmarkStart w:id="177" w:name="_Toc184313296"/>
      <w:bookmarkEnd w:id="177"/>
      <w:bookmarkStart w:id="178" w:name="_Toc184313292"/>
      <w:bookmarkEnd w:id="178"/>
      <w:bookmarkStart w:id="179" w:name="_Toc184310292"/>
      <w:bookmarkEnd w:id="179"/>
      <w:bookmarkStart w:id="180" w:name="_Toc184314472"/>
      <w:bookmarkEnd w:id="180"/>
      <w:bookmarkStart w:id="181" w:name="_Toc184310320"/>
      <w:bookmarkEnd w:id="181"/>
      <w:bookmarkStart w:id="182" w:name="_Toc184308084"/>
      <w:bookmarkEnd w:id="182"/>
      <w:bookmarkStart w:id="183" w:name="_Toc184313265"/>
      <w:bookmarkEnd w:id="183"/>
      <w:bookmarkStart w:id="184" w:name="_Toc184310332"/>
      <w:bookmarkEnd w:id="184"/>
      <w:bookmarkStart w:id="185" w:name="_Toc184314425"/>
      <w:bookmarkEnd w:id="185"/>
      <w:bookmarkStart w:id="186" w:name="_Toc184308079"/>
      <w:bookmarkEnd w:id="186"/>
      <w:bookmarkStart w:id="187" w:name="_Toc184314426"/>
      <w:bookmarkEnd w:id="187"/>
      <w:bookmarkStart w:id="188" w:name="_Toc184313276"/>
      <w:bookmarkEnd w:id="188"/>
      <w:bookmarkStart w:id="189" w:name="_Toc184308058"/>
      <w:bookmarkEnd w:id="189"/>
      <w:bookmarkStart w:id="190" w:name="_Toc184310317"/>
      <w:bookmarkEnd w:id="190"/>
      <w:bookmarkStart w:id="191" w:name="_Toc184310294"/>
      <w:bookmarkEnd w:id="191"/>
      <w:bookmarkStart w:id="192" w:name="_Toc184314427"/>
      <w:bookmarkEnd w:id="192"/>
      <w:bookmarkStart w:id="193" w:name="_Toc184310309"/>
      <w:bookmarkEnd w:id="193"/>
      <w:bookmarkStart w:id="194" w:name="_Toc184313304"/>
      <w:bookmarkEnd w:id="194"/>
      <w:bookmarkStart w:id="195" w:name="_Toc184308075"/>
      <w:bookmarkEnd w:id="195"/>
      <w:bookmarkStart w:id="196" w:name="_Toc184310283"/>
      <w:bookmarkEnd w:id="196"/>
      <w:bookmarkStart w:id="197" w:name="_Toc184314420"/>
      <w:bookmarkEnd w:id="197"/>
      <w:bookmarkStart w:id="198" w:name="_Toc184310297"/>
      <w:bookmarkEnd w:id="198"/>
      <w:bookmarkStart w:id="199" w:name="_Toc184312088"/>
      <w:bookmarkEnd w:id="199"/>
      <w:bookmarkStart w:id="200" w:name="_Toc184314437"/>
      <w:bookmarkEnd w:id="200"/>
      <w:bookmarkStart w:id="201" w:name="_Toc184308038"/>
      <w:bookmarkEnd w:id="201"/>
      <w:bookmarkStart w:id="202" w:name="_Toc184313252"/>
      <w:bookmarkEnd w:id="202"/>
      <w:bookmarkStart w:id="203" w:name="_Toc184313268"/>
      <w:bookmarkEnd w:id="203"/>
      <w:bookmarkStart w:id="204" w:name="_Toc184312131"/>
      <w:bookmarkEnd w:id="204"/>
      <w:bookmarkStart w:id="205" w:name="_Toc184313293"/>
      <w:bookmarkEnd w:id="205"/>
      <w:bookmarkStart w:id="206" w:name="_Toc184310337"/>
      <w:bookmarkEnd w:id="206"/>
      <w:bookmarkStart w:id="207" w:name="_Toc184314443"/>
      <w:bookmarkEnd w:id="207"/>
      <w:bookmarkStart w:id="208" w:name="_Toc184314434"/>
      <w:bookmarkEnd w:id="208"/>
      <w:bookmarkStart w:id="209" w:name="_Toc184313278"/>
      <w:bookmarkEnd w:id="209"/>
      <w:bookmarkStart w:id="210" w:name="_Toc184314458"/>
      <w:bookmarkEnd w:id="210"/>
      <w:bookmarkStart w:id="211" w:name="_Toc184313255"/>
      <w:bookmarkEnd w:id="211"/>
      <w:bookmarkStart w:id="212" w:name="_Toc184313294"/>
      <w:bookmarkEnd w:id="212"/>
      <w:bookmarkStart w:id="213" w:name="_Toc184312121"/>
      <w:bookmarkEnd w:id="213"/>
      <w:bookmarkStart w:id="214" w:name="_Toc184308100"/>
      <w:bookmarkEnd w:id="214"/>
      <w:bookmarkStart w:id="215" w:name="_Toc184310302"/>
      <w:bookmarkEnd w:id="215"/>
      <w:bookmarkStart w:id="216" w:name="_Toc184308037"/>
      <w:bookmarkEnd w:id="216"/>
      <w:bookmarkStart w:id="217" w:name="_Toc184310289"/>
      <w:bookmarkEnd w:id="217"/>
      <w:bookmarkStart w:id="218" w:name="_Toc184312093"/>
      <w:bookmarkEnd w:id="218"/>
      <w:bookmarkStart w:id="219" w:name="_Toc184313284"/>
      <w:bookmarkEnd w:id="219"/>
      <w:bookmarkStart w:id="220" w:name="_Toc184308096"/>
      <w:bookmarkEnd w:id="220"/>
      <w:bookmarkStart w:id="221" w:name="_Toc184313240"/>
      <w:bookmarkEnd w:id="221"/>
      <w:bookmarkStart w:id="222" w:name="_Toc184310322"/>
      <w:bookmarkEnd w:id="222"/>
      <w:bookmarkStart w:id="223" w:name="_Toc184312098"/>
      <w:bookmarkEnd w:id="223"/>
      <w:bookmarkStart w:id="224" w:name="_Toc184313270"/>
      <w:bookmarkEnd w:id="224"/>
      <w:bookmarkStart w:id="225" w:name="_Toc184314471"/>
      <w:bookmarkEnd w:id="225"/>
      <w:bookmarkStart w:id="226" w:name="_Toc184308097"/>
      <w:bookmarkEnd w:id="226"/>
      <w:bookmarkStart w:id="227" w:name="_Toc184314430"/>
      <w:bookmarkEnd w:id="227"/>
      <w:bookmarkStart w:id="228" w:name="_Toc184308107"/>
      <w:bookmarkEnd w:id="228"/>
      <w:bookmarkStart w:id="229" w:name="_Toc184312124"/>
      <w:bookmarkEnd w:id="229"/>
      <w:bookmarkStart w:id="230" w:name="_Toc184313262"/>
      <w:bookmarkEnd w:id="230"/>
      <w:bookmarkStart w:id="231" w:name="_Toc184314466"/>
      <w:bookmarkEnd w:id="231"/>
      <w:bookmarkStart w:id="232" w:name="_Toc184308059"/>
      <w:bookmarkEnd w:id="232"/>
      <w:bookmarkStart w:id="233" w:name="_Toc184310299"/>
      <w:bookmarkEnd w:id="233"/>
      <w:bookmarkStart w:id="234" w:name="_Toc184312123"/>
      <w:bookmarkEnd w:id="234"/>
      <w:bookmarkStart w:id="235" w:name="_Toc184310336"/>
      <w:bookmarkEnd w:id="235"/>
      <w:bookmarkStart w:id="236" w:name="_Toc184313289"/>
      <w:bookmarkEnd w:id="236"/>
      <w:bookmarkStart w:id="237" w:name="_Toc184312136"/>
      <w:bookmarkEnd w:id="237"/>
      <w:bookmarkStart w:id="238" w:name="_Toc184308083"/>
      <w:bookmarkEnd w:id="238"/>
      <w:bookmarkStart w:id="239" w:name="_Toc184313308"/>
      <w:bookmarkEnd w:id="239"/>
      <w:bookmarkStart w:id="240" w:name="_Toc184312128"/>
      <w:bookmarkEnd w:id="240"/>
      <w:bookmarkStart w:id="241" w:name="_Toc184310318"/>
      <w:bookmarkEnd w:id="241"/>
      <w:bookmarkStart w:id="242" w:name="_Toc184312072"/>
      <w:bookmarkEnd w:id="242"/>
      <w:bookmarkStart w:id="243" w:name="_Toc184308087"/>
      <w:bookmarkEnd w:id="243"/>
      <w:bookmarkStart w:id="244" w:name="_Toc184308036"/>
      <w:bookmarkEnd w:id="244"/>
      <w:bookmarkStart w:id="245" w:name="_Toc184312127"/>
      <w:bookmarkEnd w:id="245"/>
      <w:bookmarkStart w:id="246" w:name="_Toc184310284"/>
      <w:bookmarkEnd w:id="246"/>
      <w:bookmarkStart w:id="247" w:name="_Toc184312076"/>
      <w:bookmarkEnd w:id="247"/>
      <w:bookmarkStart w:id="248" w:name="_Toc184308071"/>
      <w:bookmarkEnd w:id="248"/>
      <w:bookmarkStart w:id="249" w:name="_Toc184308061"/>
      <w:bookmarkEnd w:id="249"/>
      <w:bookmarkStart w:id="250" w:name="_Toc184313298"/>
      <w:bookmarkEnd w:id="250"/>
      <w:bookmarkStart w:id="251" w:name="_Toc184312139"/>
      <w:bookmarkEnd w:id="251"/>
      <w:bookmarkStart w:id="252" w:name="_Toc184314429"/>
      <w:bookmarkEnd w:id="252"/>
      <w:bookmarkStart w:id="253" w:name="_Toc184313272"/>
      <w:bookmarkEnd w:id="253"/>
      <w:bookmarkStart w:id="254" w:name="_Toc184312079"/>
      <w:bookmarkEnd w:id="254"/>
      <w:bookmarkStart w:id="255" w:name="_Toc184310293"/>
      <w:bookmarkEnd w:id="255"/>
      <w:bookmarkStart w:id="256" w:name="_Toc184308101"/>
      <w:bookmarkEnd w:id="256"/>
      <w:bookmarkStart w:id="257" w:name="_Toc184314439"/>
      <w:bookmarkEnd w:id="257"/>
      <w:bookmarkStart w:id="258" w:name="_Toc184308051"/>
      <w:bookmarkEnd w:id="258"/>
      <w:bookmarkStart w:id="259" w:name="_Toc184308056"/>
      <w:bookmarkEnd w:id="259"/>
      <w:bookmarkStart w:id="260" w:name="_Toc184314412"/>
      <w:bookmarkEnd w:id="260"/>
      <w:bookmarkStart w:id="261" w:name="_Toc184314414"/>
      <w:bookmarkEnd w:id="261"/>
      <w:bookmarkStart w:id="262" w:name="_Toc184312096"/>
      <w:bookmarkEnd w:id="262"/>
      <w:bookmarkStart w:id="263" w:name="_Toc184310296"/>
      <w:bookmarkEnd w:id="263"/>
      <w:bookmarkStart w:id="264" w:name="_Toc184312129"/>
      <w:bookmarkEnd w:id="264"/>
      <w:bookmarkStart w:id="265" w:name="_Toc184310328"/>
      <w:bookmarkEnd w:id="265"/>
      <w:bookmarkStart w:id="266" w:name="_Toc184308091"/>
      <w:bookmarkEnd w:id="266"/>
      <w:bookmarkStart w:id="267" w:name="_Toc184308040"/>
      <w:bookmarkEnd w:id="267"/>
      <w:bookmarkStart w:id="268" w:name="_Toc184308099"/>
      <w:bookmarkEnd w:id="268"/>
      <w:bookmarkStart w:id="269" w:name="_Toc184310272"/>
      <w:bookmarkEnd w:id="269"/>
      <w:bookmarkStart w:id="270" w:name="_Toc184313283"/>
      <w:bookmarkEnd w:id="270"/>
      <w:bookmarkStart w:id="271" w:name="_Toc184314411"/>
      <w:bookmarkEnd w:id="271"/>
      <w:bookmarkStart w:id="272" w:name="_Toc184312115"/>
      <w:bookmarkEnd w:id="272"/>
      <w:bookmarkStart w:id="273" w:name="_Toc184314452"/>
      <w:bookmarkEnd w:id="273"/>
      <w:bookmarkStart w:id="274" w:name="_Toc184312106"/>
      <w:bookmarkEnd w:id="274"/>
      <w:bookmarkStart w:id="275" w:name="_Toc184313285"/>
      <w:bookmarkEnd w:id="275"/>
      <w:bookmarkStart w:id="276" w:name="_Toc184314475"/>
      <w:bookmarkEnd w:id="276"/>
      <w:bookmarkStart w:id="277" w:name="_Toc184312082"/>
      <w:bookmarkEnd w:id="277"/>
      <w:bookmarkStart w:id="278" w:name="_Toc184308065"/>
      <w:bookmarkEnd w:id="278"/>
      <w:bookmarkStart w:id="279" w:name="_Toc184310335"/>
      <w:bookmarkEnd w:id="279"/>
      <w:bookmarkStart w:id="280" w:name="_Toc184314428"/>
      <w:bookmarkEnd w:id="280"/>
      <w:bookmarkStart w:id="281" w:name="_Toc184312111"/>
      <w:bookmarkEnd w:id="281"/>
      <w:bookmarkStart w:id="282" w:name="_Toc184310343"/>
      <w:bookmarkEnd w:id="282"/>
      <w:bookmarkStart w:id="283" w:name="_Toc184314454"/>
      <w:bookmarkEnd w:id="283"/>
      <w:bookmarkStart w:id="284" w:name="_Toc184314455"/>
      <w:bookmarkEnd w:id="284"/>
      <w:bookmarkStart w:id="285" w:name="_Toc184308090"/>
      <w:bookmarkEnd w:id="285"/>
      <w:bookmarkStart w:id="286" w:name="_Toc184308089"/>
      <w:bookmarkEnd w:id="286"/>
      <w:bookmarkStart w:id="287" w:name="_Toc184308049"/>
      <w:bookmarkEnd w:id="287"/>
      <w:bookmarkStart w:id="288" w:name="_Toc184312133"/>
      <w:bookmarkEnd w:id="288"/>
      <w:bookmarkStart w:id="289" w:name="_Toc184314448"/>
      <w:bookmarkEnd w:id="289"/>
      <w:bookmarkStart w:id="290" w:name="_Toc184310334"/>
      <w:bookmarkEnd w:id="290"/>
      <w:bookmarkStart w:id="291" w:name="_Toc184308069"/>
      <w:bookmarkEnd w:id="291"/>
      <w:bookmarkStart w:id="292" w:name="_Toc184314441"/>
      <w:bookmarkEnd w:id="292"/>
      <w:bookmarkStart w:id="293" w:name="_Toc184308102"/>
      <w:bookmarkEnd w:id="293"/>
      <w:bookmarkStart w:id="294" w:name="_Toc184308074"/>
      <w:bookmarkEnd w:id="294"/>
      <w:bookmarkStart w:id="295" w:name="_Toc184312070"/>
      <w:bookmarkEnd w:id="295"/>
      <w:bookmarkStart w:id="296" w:name="_Toc184314416"/>
      <w:bookmarkEnd w:id="296"/>
      <w:bookmarkStart w:id="297" w:name="_Toc184312068"/>
      <w:bookmarkEnd w:id="297"/>
      <w:bookmarkStart w:id="298" w:name="_Toc184312075"/>
      <w:bookmarkEnd w:id="298"/>
      <w:bookmarkStart w:id="299" w:name="_Toc184313290"/>
      <w:bookmarkEnd w:id="299"/>
      <w:bookmarkStart w:id="300" w:name="_Toc184310325"/>
      <w:bookmarkEnd w:id="300"/>
      <w:bookmarkStart w:id="301" w:name="_Toc184313279"/>
      <w:bookmarkEnd w:id="301"/>
      <w:bookmarkStart w:id="302" w:name="_Toc184308047"/>
      <w:bookmarkEnd w:id="302"/>
      <w:bookmarkStart w:id="303" w:name="_Toc184308106"/>
      <w:bookmarkEnd w:id="303"/>
      <w:bookmarkStart w:id="304" w:name="_Toc184314456"/>
      <w:bookmarkEnd w:id="304"/>
      <w:bookmarkStart w:id="305" w:name="_Toc184313251"/>
      <w:bookmarkEnd w:id="305"/>
      <w:bookmarkStart w:id="306" w:name="_Toc184312109"/>
      <w:bookmarkEnd w:id="306"/>
      <w:bookmarkStart w:id="307" w:name="_Toc184313299"/>
      <w:bookmarkEnd w:id="307"/>
      <w:bookmarkStart w:id="308" w:name="_Toc184314432"/>
      <w:bookmarkEnd w:id="308"/>
      <w:bookmarkStart w:id="309" w:name="_Toc184313259"/>
      <w:bookmarkEnd w:id="309"/>
      <w:bookmarkStart w:id="310" w:name="_Toc184308092"/>
      <w:bookmarkEnd w:id="310"/>
      <w:bookmarkStart w:id="311" w:name="_Toc184313247"/>
      <w:bookmarkEnd w:id="311"/>
      <w:bookmarkStart w:id="312" w:name="_Toc184312087"/>
      <w:bookmarkEnd w:id="312"/>
      <w:bookmarkStart w:id="313" w:name="_Toc184310305"/>
      <w:bookmarkEnd w:id="313"/>
      <w:bookmarkStart w:id="314" w:name="_Toc184314436"/>
      <w:bookmarkEnd w:id="314"/>
      <w:bookmarkStart w:id="315" w:name="_Toc184308086"/>
      <w:bookmarkEnd w:id="315"/>
      <w:bookmarkStart w:id="316" w:name="_Toc184312134"/>
      <w:bookmarkEnd w:id="316"/>
      <w:bookmarkStart w:id="317" w:name="_Toc184313297"/>
      <w:bookmarkEnd w:id="317"/>
      <w:bookmarkStart w:id="318" w:name="_Toc184308070"/>
      <w:bookmarkEnd w:id="318"/>
      <w:bookmarkStart w:id="319" w:name="_Toc184310280"/>
      <w:bookmarkEnd w:id="319"/>
      <w:bookmarkStart w:id="320" w:name="_Toc184314422"/>
      <w:bookmarkEnd w:id="320"/>
      <w:bookmarkStart w:id="321" w:name="_Toc184308053"/>
      <w:bookmarkEnd w:id="321"/>
      <w:bookmarkStart w:id="322" w:name="_Toc184313244"/>
      <w:bookmarkEnd w:id="322"/>
      <w:bookmarkStart w:id="323" w:name="_Toc184312104"/>
      <w:bookmarkEnd w:id="323"/>
      <w:bookmarkStart w:id="324" w:name="_Toc184313300"/>
      <w:bookmarkEnd w:id="324"/>
      <w:bookmarkStart w:id="325" w:name="_Toc184312073"/>
      <w:bookmarkEnd w:id="325"/>
      <w:bookmarkStart w:id="326" w:name="_Toc184312138"/>
      <w:bookmarkEnd w:id="326"/>
      <w:bookmarkStart w:id="327" w:name="_Toc184312132"/>
      <w:bookmarkEnd w:id="327"/>
      <w:bookmarkStart w:id="328" w:name="_Toc184313260"/>
      <w:bookmarkEnd w:id="328"/>
      <w:bookmarkStart w:id="329" w:name="_Toc184312077"/>
      <w:bookmarkEnd w:id="329"/>
      <w:bookmarkStart w:id="330" w:name="_Toc184312135"/>
      <w:bookmarkEnd w:id="330"/>
      <w:bookmarkStart w:id="331" w:name="_Toc184314470"/>
      <w:bookmarkEnd w:id="331"/>
      <w:bookmarkStart w:id="332" w:name="_Toc184312126"/>
      <w:bookmarkEnd w:id="332"/>
      <w:bookmarkStart w:id="333" w:name="_Toc184314480"/>
      <w:bookmarkEnd w:id="333"/>
      <w:bookmarkStart w:id="334" w:name="_Toc184314469"/>
      <w:bookmarkEnd w:id="334"/>
      <w:bookmarkStart w:id="335" w:name="_Toc184310344"/>
      <w:bookmarkEnd w:id="335"/>
      <w:bookmarkStart w:id="336" w:name="_Toc184313295"/>
      <w:bookmarkEnd w:id="336"/>
      <w:bookmarkStart w:id="337" w:name="_Toc184308048"/>
      <w:bookmarkEnd w:id="337"/>
      <w:bookmarkStart w:id="338" w:name="_Toc184308088"/>
      <w:bookmarkEnd w:id="338"/>
      <w:bookmarkStart w:id="339" w:name="_Toc184308064"/>
      <w:bookmarkEnd w:id="339"/>
      <w:bookmarkStart w:id="340" w:name="_Toc184314476"/>
      <w:bookmarkEnd w:id="340"/>
      <w:bookmarkStart w:id="341" w:name="_Toc184310304"/>
      <w:bookmarkEnd w:id="341"/>
      <w:bookmarkStart w:id="342" w:name="_Toc184313303"/>
      <w:bookmarkEnd w:id="342"/>
      <w:bookmarkStart w:id="343" w:name="_Toc184312114"/>
      <w:bookmarkEnd w:id="343"/>
      <w:bookmarkStart w:id="344" w:name="_Toc184313248"/>
      <w:bookmarkEnd w:id="344"/>
      <w:bookmarkStart w:id="345" w:name="_Toc184313254"/>
      <w:bookmarkEnd w:id="345"/>
      <w:bookmarkStart w:id="346" w:name="_Toc184314481"/>
      <w:bookmarkEnd w:id="346"/>
      <w:bookmarkStart w:id="347" w:name="_Toc184312083"/>
      <w:bookmarkEnd w:id="347"/>
      <w:bookmarkStart w:id="348" w:name="_Toc184313263"/>
      <w:bookmarkEnd w:id="348"/>
      <w:bookmarkStart w:id="349" w:name="_Toc184310276"/>
      <w:bookmarkEnd w:id="349"/>
      <w:bookmarkStart w:id="350" w:name="_Toc184308042"/>
      <w:bookmarkEnd w:id="350"/>
      <w:bookmarkStart w:id="351" w:name="_Toc184308062"/>
      <w:bookmarkEnd w:id="351"/>
      <w:bookmarkStart w:id="352" w:name="_Toc184312119"/>
      <w:bookmarkEnd w:id="352"/>
      <w:bookmarkStart w:id="353" w:name="_Toc184314435"/>
      <w:bookmarkEnd w:id="353"/>
      <w:bookmarkStart w:id="354" w:name="_Toc184312122"/>
      <w:bookmarkEnd w:id="354"/>
      <w:bookmarkStart w:id="355" w:name="_Toc184313241"/>
      <w:bookmarkEnd w:id="355"/>
      <w:bookmarkStart w:id="356" w:name="_Toc184314418"/>
      <w:bookmarkEnd w:id="356"/>
      <w:bookmarkStart w:id="357" w:name="_Toc184314479"/>
      <w:bookmarkEnd w:id="357"/>
      <w:bookmarkStart w:id="358" w:name="_Toc184312118"/>
      <w:bookmarkEnd w:id="358"/>
      <w:bookmarkStart w:id="359" w:name="_Toc184313310"/>
      <w:bookmarkEnd w:id="359"/>
      <w:bookmarkStart w:id="360" w:name="_Toc184310311"/>
      <w:bookmarkEnd w:id="360"/>
      <w:bookmarkStart w:id="361" w:name="_Toc184313280"/>
      <w:bookmarkEnd w:id="361"/>
      <w:bookmarkStart w:id="362" w:name="_Toc184312099"/>
      <w:bookmarkEnd w:id="362"/>
      <w:bookmarkStart w:id="363" w:name="_Toc184308077"/>
      <w:bookmarkEnd w:id="363"/>
      <w:bookmarkStart w:id="364" w:name="_Toc184314445"/>
      <w:bookmarkEnd w:id="364"/>
      <w:bookmarkStart w:id="365" w:name="_Toc184312107"/>
      <w:bookmarkEnd w:id="365"/>
      <w:bookmarkStart w:id="366" w:name="_Toc184313288"/>
      <w:bookmarkEnd w:id="366"/>
      <w:bookmarkStart w:id="367" w:name="_Toc184308103"/>
      <w:bookmarkEnd w:id="367"/>
      <w:bookmarkStart w:id="368" w:name="_Toc184308046"/>
      <w:bookmarkEnd w:id="368"/>
      <w:bookmarkStart w:id="369" w:name="_Toc184313306"/>
      <w:bookmarkEnd w:id="369"/>
      <w:bookmarkStart w:id="370" w:name="_Toc184313246"/>
      <w:bookmarkEnd w:id="370"/>
      <w:bookmarkStart w:id="371" w:name="_Toc184314447"/>
      <w:bookmarkEnd w:id="371"/>
      <w:bookmarkStart w:id="372" w:name="_Toc184312091"/>
      <w:bookmarkEnd w:id="372"/>
      <w:bookmarkStart w:id="373" w:name="_Toc184313275"/>
      <w:bookmarkEnd w:id="373"/>
      <w:bookmarkStart w:id="374" w:name="_Toc184310329"/>
      <w:bookmarkEnd w:id="374"/>
      <w:bookmarkStart w:id="375" w:name="_Toc184310277"/>
      <w:bookmarkEnd w:id="375"/>
      <w:bookmarkStart w:id="376" w:name="_Toc184312113"/>
      <w:bookmarkEnd w:id="376"/>
      <w:bookmarkStart w:id="377" w:name="_Toc184310316"/>
      <w:bookmarkEnd w:id="377"/>
      <w:bookmarkStart w:id="378" w:name="_Toc184308105"/>
      <w:bookmarkEnd w:id="378"/>
      <w:bookmarkStart w:id="379" w:name="_Toc184313286"/>
      <w:bookmarkEnd w:id="379"/>
      <w:bookmarkStart w:id="380" w:name="_Toc184308063"/>
      <w:bookmarkEnd w:id="380"/>
      <w:bookmarkStart w:id="381" w:name="_Toc184308066"/>
      <w:bookmarkEnd w:id="381"/>
      <w:bookmarkStart w:id="382" w:name="_Toc184313271"/>
      <w:bookmarkEnd w:id="382"/>
      <w:bookmarkStart w:id="383" w:name="_Toc184308081"/>
      <w:bookmarkEnd w:id="383"/>
      <w:bookmarkStart w:id="384" w:name="_Toc184314477"/>
      <w:bookmarkEnd w:id="384"/>
      <w:bookmarkStart w:id="385" w:name="_Toc184312112"/>
      <w:bookmarkEnd w:id="385"/>
      <w:bookmarkStart w:id="386" w:name="_Toc184312071"/>
      <w:bookmarkEnd w:id="386"/>
      <w:bookmarkStart w:id="387" w:name="_Toc184312101"/>
      <w:bookmarkEnd w:id="387"/>
      <w:bookmarkStart w:id="388" w:name="_Toc184310275"/>
      <w:bookmarkEnd w:id="388"/>
      <w:bookmarkStart w:id="389" w:name="_Toc184312117"/>
      <w:bookmarkEnd w:id="389"/>
      <w:bookmarkStart w:id="390" w:name="_Toc184313282"/>
      <w:bookmarkEnd w:id="390"/>
      <w:bookmarkStart w:id="391" w:name="_Toc184314442"/>
      <w:bookmarkEnd w:id="391"/>
      <w:bookmarkStart w:id="392" w:name="_Toc184310310"/>
      <w:bookmarkEnd w:id="392"/>
      <w:bookmarkStart w:id="393" w:name="_Toc184314450"/>
      <w:bookmarkEnd w:id="393"/>
      <w:bookmarkStart w:id="394" w:name="_Toc184310340"/>
      <w:bookmarkEnd w:id="394"/>
      <w:bookmarkStart w:id="395" w:name="_Toc184310342"/>
      <w:bookmarkEnd w:id="395"/>
      <w:bookmarkStart w:id="396" w:name="_Toc184310281"/>
      <w:bookmarkEnd w:id="396"/>
      <w:bookmarkStart w:id="397" w:name="_Toc184313245"/>
      <w:bookmarkEnd w:id="397"/>
      <w:bookmarkStart w:id="398" w:name="_Toc184313267"/>
      <w:bookmarkEnd w:id="398"/>
      <w:bookmarkStart w:id="399" w:name="_Toc184314446"/>
      <w:bookmarkEnd w:id="399"/>
      <w:bookmarkStart w:id="400" w:name="_Toc184313305"/>
      <w:bookmarkEnd w:id="400"/>
      <w:bookmarkStart w:id="401" w:name="_Toc184314464"/>
      <w:bookmarkEnd w:id="401"/>
      <w:bookmarkStart w:id="402" w:name="_Toc184310324"/>
      <w:bookmarkEnd w:id="402"/>
      <w:r>
        <w:rPr>
          <w:rFonts w:hint="eastAsia" w:ascii="宋体" w:hAnsi="宋体" w:cs="宋体"/>
          <w:b/>
          <w:color w:val="auto"/>
          <w:sz w:val="36"/>
          <w:szCs w:val="36"/>
          <w:highlight w:val="none"/>
        </w:rPr>
        <w:t>评标办法</w:t>
      </w:r>
      <w:bookmarkEnd w:id="37"/>
    </w:p>
    <w:p>
      <w:pPr>
        <w:kinsoku/>
        <w:wordWrap/>
        <w:overflowPunct/>
        <w:topLinePunct w:val="0"/>
        <w:bidi w:val="0"/>
        <w:snapToGrid w:val="0"/>
        <w:spacing w:line="360" w:lineRule="auto"/>
        <w:jc w:val="center"/>
        <w:outlineLvl w:val="9"/>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widowControl/>
        <w:kinsoku/>
        <w:wordWrap/>
        <w:overflowPunct/>
        <w:topLinePunct w:val="0"/>
        <w:bidi w:val="0"/>
        <w:adjustRightInd/>
        <w:spacing w:line="360" w:lineRule="exact"/>
        <w:jc w:val="center"/>
        <w:outlineLvl w:val="9"/>
        <w:rPr>
          <w:rFonts w:hint="default" w:ascii="宋体" w:hAnsi="宋体" w:eastAsia="宋体" w:cs="宋体"/>
          <w:b/>
          <w:bCs/>
          <w:color w:val="auto"/>
          <w:kern w:val="0"/>
          <w:sz w:val="32"/>
          <w:szCs w:val="40"/>
          <w:highlight w:val="none"/>
          <w:lang w:val="en-US" w:eastAsia="zh-CN"/>
        </w:rPr>
      </w:pPr>
      <w:r>
        <w:rPr>
          <w:rFonts w:hint="eastAsia" w:ascii="宋体" w:hAnsi="宋体" w:eastAsia="宋体" w:cs="宋体"/>
          <w:b/>
          <w:bCs/>
          <w:color w:val="auto"/>
          <w:kern w:val="0"/>
          <w:sz w:val="32"/>
          <w:szCs w:val="40"/>
          <w:highlight w:val="none"/>
        </w:rPr>
        <w:t>评分标准表</w:t>
      </w:r>
      <w:r>
        <w:rPr>
          <w:rFonts w:hint="eastAsia" w:ascii="宋体" w:hAnsi="宋体" w:cs="宋体"/>
          <w:b/>
          <w:bCs/>
          <w:color w:val="auto"/>
          <w:kern w:val="0"/>
          <w:sz w:val="32"/>
          <w:szCs w:val="40"/>
          <w:highlight w:val="none"/>
          <w:lang w:eastAsia="zh-CN"/>
        </w:rPr>
        <w:t>（</w:t>
      </w:r>
      <w:r>
        <w:rPr>
          <w:rFonts w:hint="eastAsia" w:ascii="宋体" w:hAnsi="宋体" w:cs="宋体"/>
          <w:b/>
          <w:bCs/>
          <w:color w:val="auto"/>
          <w:kern w:val="0"/>
          <w:sz w:val="32"/>
          <w:szCs w:val="40"/>
          <w:highlight w:val="none"/>
          <w:lang w:val="en-US" w:eastAsia="zh-CN"/>
        </w:rPr>
        <w:t>适用于所有标项）</w:t>
      </w:r>
      <w:bookmarkStart w:id="526" w:name="_GoBack"/>
      <w:bookmarkEnd w:id="526"/>
    </w:p>
    <w:tbl>
      <w:tblPr>
        <w:tblStyle w:val="62"/>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275"/>
        <w:gridCol w:w="5654"/>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19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929"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28" w:lineRule="auto"/>
              <w:ind w:left="0" w:right="0"/>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zh-CN"/>
              </w:rPr>
              <w:t>分值</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28" w:lineRule="auto"/>
              <w:ind w:left="0" w:right="0"/>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19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6929"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参与评审的价格=投标报价</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rPr>
              <w:t>小微企业价格扣除优惠值（如有）。</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w:t>
            </w:r>
            <w:r>
              <w:rPr>
                <w:rFonts w:hint="eastAsia" w:ascii="宋体" w:hAnsi="宋体" w:cs="宋体"/>
                <w:bCs/>
                <w:color w:val="auto"/>
                <w:kern w:val="0"/>
                <w:sz w:val="24"/>
                <w:szCs w:val="24"/>
                <w:highlight w:val="none"/>
                <w:lang w:val="en-US" w:eastAsia="zh-CN"/>
              </w:rPr>
              <w:t>20</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w:t>
            </w:r>
            <w:r>
              <w:rPr>
                <w:rFonts w:hint="eastAsia" w:ascii="宋体" w:hAnsi="宋体" w:cs="宋体"/>
                <w:bCs/>
                <w:color w:val="auto"/>
                <w:kern w:val="0"/>
                <w:sz w:val="24"/>
                <w:szCs w:val="24"/>
                <w:highlight w:val="none"/>
                <w:lang w:val="en-US" w:eastAsia="zh-CN"/>
              </w:rPr>
              <w:t>20</w:t>
            </w:r>
            <w:r>
              <w:rPr>
                <w:rFonts w:hint="eastAsia" w:ascii="宋体" w:hAnsi="宋体" w:eastAsia="宋体" w:cs="宋体"/>
                <w:bCs/>
                <w:color w:val="auto"/>
                <w:kern w:val="0"/>
                <w:sz w:val="24"/>
                <w:szCs w:val="24"/>
                <w:highlight w:val="none"/>
              </w:rPr>
              <w:t>%×100。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Calibri" w:hAnsi="Calibri" w:eastAsia="宋体" w:cs="Times New Roman"/>
                <w:color w:val="auto"/>
                <w:sz w:val="24"/>
                <w:szCs w:val="24"/>
                <w:highlight w:val="none"/>
                <w:lang w:val="en-US" w:eastAsia="zh-CN"/>
              </w:rPr>
            </w:pPr>
            <w:r>
              <w:rPr>
                <w:rFonts w:hint="eastAsia" w:ascii="宋体" w:hAnsi="宋体" w:cs="宋体"/>
                <w:color w:val="auto"/>
                <w:kern w:val="0"/>
                <w:sz w:val="24"/>
                <w:szCs w:val="24"/>
                <w:highlight w:val="none"/>
                <w:lang w:val="en-US" w:eastAsia="zh-CN" w:bidi="ar-SA"/>
              </w:rPr>
              <w:t>20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1196" w:type="dxa"/>
            <w:vMerge w:val="restart"/>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cs="宋体"/>
                <w:color w:val="auto"/>
                <w:kern w:val="2"/>
                <w:sz w:val="24"/>
                <w:szCs w:val="24"/>
                <w:highlight w:val="none"/>
                <w:lang w:val="en-US" w:eastAsia="zh-CN" w:bidi="ar"/>
              </w:rPr>
              <w:t>80</w:t>
            </w:r>
            <w:r>
              <w:rPr>
                <w:rFonts w:hint="eastAsia" w:ascii="宋体" w:hAnsi="宋体" w:eastAsia="宋体" w:cs="宋体"/>
                <w:color w:val="auto"/>
                <w:kern w:val="2"/>
                <w:sz w:val="24"/>
                <w:szCs w:val="24"/>
                <w:highlight w:val="none"/>
                <w:lang w:val="en-US" w:eastAsia="zh-CN" w:bidi="ar"/>
              </w:rPr>
              <w:t>分）</w:t>
            </w:r>
          </w:p>
        </w:tc>
        <w:tc>
          <w:tcPr>
            <w:tcW w:w="1275" w:type="dxa"/>
            <w:vMerge w:val="restart"/>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1、实施方案（20分）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color w:val="auto"/>
                <w:highlight w:val="none"/>
                <w:lang w:val="en-US" w:eastAsia="zh-CN"/>
              </w:rPr>
            </w:pPr>
            <w:r>
              <w:rPr>
                <w:rFonts w:hint="eastAsia" w:ascii="宋体" w:hAnsi="宋体" w:eastAsia="宋体" w:cs="宋体"/>
                <w:color w:val="auto"/>
                <w:sz w:val="24"/>
                <w:szCs w:val="24"/>
                <w:highlight w:val="none"/>
                <w:lang w:val="en-US" w:eastAsia="zh-CN"/>
              </w:rPr>
              <w:t>1.1、根据供应商针对本项目制定的各项服务作业计划详尽全面性和作业流程（程序）是否详细、是否可行、是否全面、是否符合规范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根据供应商团队组织管理制度规范合理性（包含工作考勤、监督管理机制、员工奖罚管理等）是否详细、是否可行、是否全面且是否符合规范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根据供应商服务工作目标及保障承诺是否详细、是否可行、是否全面且是否符合规范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根据供应商针对本项目服务过程中的重点、难点分析及解决措施是否详细、是否可行、是否全面且是否符合规范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2、企业赔付能力（5分）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给予员工的人身保险和职业责任保险，承诺对出现的安全问题具备赔付能力是否充足，并提供赔付范围的介绍说明是否合理，是否具有操作性等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3、人员配备（5分）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拟投入本项目的人员数量配备、专业结构与项目需求的匹配度高及相关人员的综合能力（包括工作经验、资质能力、专业技能水平等）是否充足、是否专业、是否匹配的情况进行评议，人数充足、技术水平高、具备相关工作经验的得5分；人数充足、有一定的技术水平、同类经验略缺的得3分；人数充足、但技术水平较低、同类经验略缺的得1分；人数不足、或不具备专业技术水平、或没有同类经验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4、车辆配置（5分）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拟投入本项目的作业车辆配置是否齐全、是否充足、是否符合项目需要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注：投标文件中需提供车辆相关证明文件复印件加盖供应商公章，未提供本项不得分。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restart"/>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5、设备配置（10分）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根据供应商针对本项目拟配置的药械、设施设备等的配置情况以及与项目需求是否匹配、配置情况是否齐全、是否全面、是否可行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5.2、根据供应商提供的药物清单和药证及安全技术说明是否符合规范、是否安全、是否完整、是否详细等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restart"/>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6、应急预案（10分）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6.1、根据供应商针对本项目实施过程中可能发生的紧急情况及采取的应急预案措施是否详细、是否全面、是否可行、是否符合相关情况且是否合理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根据供应商针对迎检工作预案及采取的措施是否详细、是否全面、是否可行、是否符合相关情况且是否合理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7、药物中毒预防及处理方案（5分）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在药物中毒预防方面及人畜意外药物中毒时，针对中毒患者救治和事件后续处理的方案是否详细、是否全面、是否可行、是否符合相关情况且是否合理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8、除“四害”宣传计划（5分）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的除“四害”宣传计划内容（含宣传方式、宣传时间等）是否详细、是否全面、是否可行、是否符合相关情况且是否合理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9、服务能力（5分）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针对本项目专业服务方案进行评议，包括所具有的资质能力是否符合项目情况、是否熟知行业标准、是否能保障提升本项目服务质量、履行本项目相关服务的能力是否专业，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10、服务便捷性（5分）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针对本项目的服务便捷性优势方面的描述，包括是否响应及时、项目实施期间配合服务的便捷程度等相关内容是否详细、是否全面、是否可行、是否符合相关情况且是否合理的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restart"/>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11、履约能力（3分）</w:t>
            </w: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11.1、供应商具有有效期内质量管理体系认证证书的得1分。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注：响应文件中须提供证书复印件加盖公章，未提供不得分。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11.2、供应商具有有效期内职业健康体系认证证书的得1分。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注：响应文件中须提供证书复印件加盖公章，未提供不得分。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vMerge w:val="continue"/>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p>
        </w:tc>
        <w:tc>
          <w:tcPr>
            <w:tcW w:w="5654"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11.3、供应商具有有效期内环境管理体系认证证书的得1分。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注：响应文件中须提供证书复印件加盖公章，未提供不得分。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196"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75"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12、业绩（2分）</w:t>
            </w:r>
          </w:p>
        </w:tc>
        <w:tc>
          <w:tcPr>
            <w:tcW w:w="5654"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w:t>
            </w:r>
            <w:r>
              <w:rPr>
                <w:rFonts w:hint="eastAsia" w:ascii="宋体" w:hAnsi="宋体" w:cs="宋体"/>
                <w:color w:val="auto"/>
                <w:kern w:val="2"/>
                <w:sz w:val="24"/>
                <w:szCs w:val="24"/>
                <w:highlight w:val="none"/>
                <w:lang w:val="en-US" w:eastAsia="zh-CN" w:bidi="ar-SA"/>
              </w:rPr>
              <w:t>供应商</w:t>
            </w:r>
            <w:r>
              <w:rPr>
                <w:rFonts w:hint="default" w:ascii="宋体" w:hAnsi="宋体" w:eastAsia="宋体" w:cs="宋体"/>
                <w:color w:val="auto"/>
                <w:kern w:val="2"/>
                <w:sz w:val="24"/>
                <w:szCs w:val="24"/>
                <w:highlight w:val="none"/>
                <w:lang w:val="en-US" w:eastAsia="zh-CN" w:bidi="ar-SA"/>
              </w:rPr>
              <w:t>自20</w:t>
            </w:r>
            <w:r>
              <w:rPr>
                <w:rFonts w:hint="eastAsia" w:ascii="宋体" w:hAnsi="宋体" w:cs="宋体"/>
                <w:color w:val="auto"/>
                <w:kern w:val="2"/>
                <w:sz w:val="24"/>
                <w:szCs w:val="24"/>
                <w:highlight w:val="none"/>
                <w:lang w:val="en-US" w:eastAsia="zh-CN" w:bidi="ar-SA"/>
              </w:rPr>
              <w:t>21</w:t>
            </w:r>
            <w:r>
              <w:rPr>
                <w:rFonts w:hint="default" w:ascii="宋体" w:hAnsi="宋体" w:eastAsia="宋体" w:cs="宋体"/>
                <w:color w:val="auto"/>
                <w:kern w:val="2"/>
                <w:sz w:val="24"/>
                <w:szCs w:val="24"/>
                <w:highlight w:val="none"/>
                <w:lang w:val="en-US" w:eastAsia="zh-CN" w:bidi="ar-SA"/>
              </w:rPr>
              <w:t>年1月1日（以合同签订日期为准）至今具有除四害消杀服务业绩</w:t>
            </w:r>
            <w:r>
              <w:rPr>
                <w:rFonts w:hint="eastAsia" w:ascii="宋体" w:hAnsi="宋体" w:eastAsia="宋体" w:cs="宋体"/>
                <w:color w:val="auto"/>
                <w:kern w:val="2"/>
                <w:sz w:val="24"/>
                <w:szCs w:val="24"/>
                <w:highlight w:val="none"/>
                <w:lang w:val="en-US" w:eastAsia="zh-CN" w:bidi="ar-SA"/>
              </w:rPr>
              <w:t>的</w:t>
            </w:r>
            <w:r>
              <w:rPr>
                <w:rFonts w:hint="default" w:ascii="宋体" w:hAnsi="宋体" w:eastAsia="宋体" w:cs="宋体"/>
                <w:color w:val="auto"/>
                <w:kern w:val="2"/>
                <w:sz w:val="24"/>
                <w:szCs w:val="24"/>
                <w:highlight w:val="none"/>
                <w:lang w:val="en-US" w:eastAsia="zh-CN" w:bidi="ar-SA"/>
              </w:rPr>
              <w:t>，每提供1个业绩得</w:t>
            </w:r>
            <w:r>
              <w:rPr>
                <w:rFonts w:hint="eastAsia" w:ascii="宋体" w:hAnsi="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分，满分</w:t>
            </w:r>
            <w:r>
              <w:rPr>
                <w:rFonts w:hint="eastAsia" w:ascii="宋体" w:hAnsi="宋体" w:cs="宋体"/>
                <w:color w:val="auto"/>
                <w:kern w:val="2"/>
                <w:sz w:val="24"/>
                <w:szCs w:val="24"/>
                <w:highlight w:val="none"/>
                <w:lang w:val="en-US" w:eastAsia="zh-CN" w:bidi="ar-SA"/>
              </w:rPr>
              <w:t>2</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注：投标文件中提供合同复印件并加盖公章，未提供的或未按要求盖章的视为无效业绩。</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客观评审</w:t>
            </w:r>
          </w:p>
        </w:tc>
      </w:tr>
    </w:tbl>
    <w:p>
      <w:pPr>
        <w:widowControl/>
        <w:kinsoku/>
        <w:wordWrap/>
        <w:overflowPunct/>
        <w:topLinePunct w:val="0"/>
        <w:bidi w:val="0"/>
        <w:adjustRightInd/>
        <w:spacing w:line="320" w:lineRule="exact"/>
        <w:jc w:val="left"/>
        <w:outlineLvl w:val="9"/>
        <w:rPr>
          <w:rFonts w:hint="eastAsia" w:ascii="宋体" w:hAnsi="宋体" w:eastAsia="宋体" w:cs="宋体"/>
          <w:b w:val="0"/>
          <w:bCs/>
          <w:color w:val="auto"/>
          <w:sz w:val="24"/>
          <w:highlight w:val="none"/>
        </w:rPr>
      </w:pPr>
      <w:r>
        <w:rPr>
          <w:rFonts w:hint="eastAsia" w:ascii="宋体" w:hAnsi="宋体" w:cs="宋体"/>
          <w:b w:val="0"/>
          <w:bCs/>
          <w:color w:val="auto"/>
          <w:sz w:val="24"/>
          <w:highlight w:val="none"/>
        </w:rPr>
        <w:t>备注：</w:t>
      </w: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供应商</w:t>
      </w:r>
      <w:r>
        <w:rPr>
          <w:rFonts w:hint="eastAsia" w:ascii="宋体" w:hAnsi="宋体" w:cs="宋体"/>
          <w:b w:val="0"/>
          <w:bCs/>
          <w:color w:val="auto"/>
          <w:sz w:val="24"/>
          <w:highlight w:val="none"/>
        </w:rPr>
        <w:t>编制投标文件（商务技术文件部分）时，建议按此目录（序号和内容）提供评标标准相应的商务技术资料</w:t>
      </w: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2</w:t>
      </w:r>
      <w:r>
        <w:rPr>
          <w:rFonts w:hint="eastAsia" w:ascii="宋体" w:hAnsi="宋体" w:eastAsia="宋体" w:cs="宋体"/>
          <w:b w:val="0"/>
          <w:bCs/>
          <w:color w:val="auto"/>
          <w:sz w:val="24"/>
          <w:highlight w:val="none"/>
        </w:rPr>
        <w:t>、小数点后保留一位数。</w:t>
      </w:r>
      <w:r>
        <w:rPr>
          <w:rFonts w:hint="eastAsia" w:ascii="宋体" w:hAnsi="宋体" w:eastAsia="宋体" w:cs="宋体"/>
          <w:b w:val="0"/>
          <w:bCs/>
          <w:color w:val="auto"/>
          <w:sz w:val="24"/>
          <w:highlight w:val="none"/>
          <w:lang w:val="en-US" w:eastAsia="zh-CN"/>
        </w:rPr>
        <w:t>3</w:t>
      </w:r>
      <w:r>
        <w:rPr>
          <w:rFonts w:hint="eastAsia" w:ascii="宋体" w:hAnsi="宋体" w:eastAsia="宋体" w:cs="宋体"/>
          <w:b w:val="0"/>
          <w:bCs/>
          <w:color w:val="auto"/>
          <w:sz w:val="24"/>
          <w:highlight w:val="none"/>
        </w:rPr>
        <w:t>、各评标委员会成员自行按以上参考分值评分。</w:t>
      </w:r>
      <w:r>
        <w:rPr>
          <w:rFonts w:hint="eastAsia" w:ascii="宋体" w:hAnsi="宋体" w:eastAsia="宋体" w:cs="宋体"/>
          <w:b w:val="0"/>
          <w:bCs/>
          <w:color w:val="auto"/>
          <w:sz w:val="24"/>
          <w:highlight w:val="none"/>
          <w:lang w:val="en-US" w:eastAsia="zh-CN"/>
        </w:rPr>
        <w:t>4</w:t>
      </w:r>
      <w:r>
        <w:rPr>
          <w:rFonts w:hint="eastAsia" w:ascii="宋体" w:hAnsi="宋体" w:eastAsia="宋体" w:cs="宋体"/>
          <w:b w:val="0"/>
          <w:bCs/>
          <w:color w:val="auto"/>
          <w:sz w:val="24"/>
          <w:highlight w:val="none"/>
        </w:rPr>
        <w:t>、重大事件由评标委员会集体讨论，应当按照少数服从多数的原则作出结论。</w:t>
      </w:r>
    </w:p>
    <w:p>
      <w:pPr>
        <w:kinsoku/>
        <w:wordWrap/>
        <w:overflowPunct/>
        <w:topLinePunct w:val="0"/>
        <w:bidi w:val="0"/>
        <w:spacing w:after="120" w:afterLines="0"/>
        <w:jc w:val="center"/>
        <w:outlineLvl w:val="9"/>
        <w:rPr>
          <w:rFonts w:hint="eastAsia" w:ascii="宋体" w:hAnsi="宋体" w:eastAsia="宋体" w:cs="宋体"/>
          <w:b/>
          <w:bCs/>
          <w:color w:val="auto"/>
          <w:sz w:val="32"/>
          <w:szCs w:val="40"/>
          <w:highlight w:val="none"/>
          <w:lang w:val="en-US" w:eastAsia="zh-CN" w:bidi="ar-SA"/>
        </w:rPr>
      </w:pPr>
    </w:p>
    <w:p>
      <w:pPr>
        <w:widowControl/>
        <w:kinsoku/>
        <w:wordWrap/>
        <w:overflowPunct/>
        <w:topLinePunct w:val="0"/>
        <w:bidi w:val="0"/>
        <w:adjustRightInd/>
        <w:spacing w:line="320" w:lineRule="exact"/>
        <w:jc w:val="left"/>
        <w:outlineLvl w:val="9"/>
        <w:rPr>
          <w:rFonts w:hint="eastAsia" w:ascii="宋体" w:hAnsi="宋体" w:eastAsia="宋体" w:cs="宋体"/>
          <w:b w:val="0"/>
          <w:bCs/>
          <w:color w:val="auto"/>
          <w:sz w:val="24"/>
          <w:highlight w:val="none"/>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color w:val="auto"/>
          <w:sz w:val="28"/>
          <w:szCs w:val="28"/>
          <w:highlight w:val="none"/>
        </w:rPr>
      </w:pPr>
      <w:r>
        <w:rPr>
          <w:rFonts w:hint="eastAsia" w:ascii="宋体" w:hAnsi="宋体" w:cs="宋体"/>
          <w:b/>
          <w:color w:val="auto"/>
          <w:sz w:val="32"/>
          <w:highlight w:val="none"/>
        </w:rPr>
        <w:t>一、评标方法</w:t>
      </w:r>
    </w:p>
    <w:p>
      <w:pPr>
        <w:kinsoku/>
        <w:wordWrap/>
        <w:overflowPunct/>
        <w:topLinePunct w:val="0"/>
        <w:bidi w:val="0"/>
        <w:adjustRightInd/>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为中标候选人的评标方法。</w:t>
      </w:r>
    </w:p>
    <w:p>
      <w:pPr>
        <w:kinsoku/>
        <w:wordWrap/>
        <w:overflowPunct/>
        <w:topLinePunct w:val="0"/>
        <w:bidi w:val="0"/>
        <w:adjustRightInd/>
        <w:spacing w:line="360" w:lineRule="auto"/>
        <w:outlineLvl w:val="9"/>
        <w:rPr>
          <w:rFonts w:ascii="宋体" w:hAnsi="宋体" w:cs="宋体"/>
          <w:color w:val="auto"/>
          <w:kern w:val="0"/>
          <w:sz w:val="24"/>
          <w:highlight w:val="none"/>
        </w:rPr>
      </w:pPr>
      <w:r>
        <w:rPr>
          <w:rFonts w:hint="eastAsia" w:ascii="宋体" w:hAnsi="宋体" w:cs="宋体"/>
          <w:b/>
          <w:color w:val="auto"/>
          <w:sz w:val="32"/>
          <w:highlight w:val="none"/>
        </w:rPr>
        <w:t>二、评标标准</w:t>
      </w:r>
    </w:p>
    <w:p>
      <w:pPr>
        <w:kinsoku/>
        <w:wordWrap/>
        <w:overflowPunct/>
        <w:topLinePunct w:val="0"/>
        <w:bidi w:val="0"/>
        <w:spacing w:line="360" w:lineRule="auto"/>
        <w:ind w:firstLine="472" w:firstLineChars="196"/>
        <w:outlineLvl w:val="9"/>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kinsoku/>
        <w:wordWrap/>
        <w:overflowPunct/>
        <w:topLinePunct w:val="0"/>
        <w:bidi w:val="0"/>
        <w:spacing w:line="360" w:lineRule="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kinsoku/>
        <w:wordWrap/>
        <w:overflowPunct/>
        <w:topLinePunct w:val="0"/>
        <w:bidi w:val="0"/>
        <w:spacing w:line="360" w:lineRule="auto"/>
        <w:ind w:firstLine="472" w:firstLineChars="196"/>
        <w:outlineLvl w:val="9"/>
        <w:rPr>
          <w:rFonts w:hint="eastAsia" w:ascii="宋体" w:hAnsi="宋体" w:cs="宋体"/>
          <w:b/>
          <w:bCs/>
          <w:color w:val="auto"/>
          <w:kern w:val="0"/>
          <w:sz w:val="24"/>
          <w:highlight w:val="none"/>
          <w:lang w:eastAsia="zh-CN"/>
        </w:rPr>
      </w:pPr>
      <w:r>
        <w:rPr>
          <w:rFonts w:hint="eastAsia" w:ascii="宋体" w:hAnsi="宋体" w:cs="宋体"/>
          <w:b/>
          <w:bCs/>
          <w:color w:val="auto"/>
          <w:kern w:val="0"/>
          <w:sz w:val="24"/>
          <w:highlight w:val="none"/>
          <w:lang w:eastAsia="zh-CN"/>
        </w:rPr>
        <w:t>本项目按照标项号的前后顺序（即先评审标项一，再评审标项二）进行评审，一家供应商最多只能作为一个标项的第一中标候选人，若某一供应商被推荐为标项一的第一中标候选人，则不再进入标项二的报价评审，以此类推。</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2"/>
        <w:kinsoku/>
        <w:wordWrap/>
        <w:overflowPunct/>
        <w:topLinePunct w:val="0"/>
        <w:bidi w:val="0"/>
        <w:spacing w:before="0"/>
        <w:ind w:firstLine="508" w:firstLineChars="212"/>
        <w:outlineLvl w:val="9"/>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2"/>
        <w:kinsoku/>
        <w:wordWrap/>
        <w:overflowPunct/>
        <w:topLinePunct w:val="0"/>
        <w:bidi w:val="0"/>
        <w:spacing w:before="0"/>
        <w:ind w:firstLine="480"/>
        <w:outlineLvl w:val="9"/>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132"/>
        <w:kinsoku/>
        <w:wordWrap/>
        <w:overflowPunct/>
        <w:topLinePunct w:val="0"/>
        <w:bidi w:val="0"/>
        <w:spacing w:before="0"/>
        <w:ind w:firstLine="480"/>
        <w:outlineLvl w:val="9"/>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132"/>
        <w:kinsoku/>
        <w:wordWrap/>
        <w:overflowPunct/>
        <w:topLinePunct w:val="0"/>
        <w:bidi w:val="0"/>
        <w:spacing w:before="0"/>
        <w:ind w:firstLine="480"/>
        <w:outlineLvl w:val="9"/>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3.4.4评标委员会认为</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的报价明显低于其他通过符合性审查</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不能证明其报价合理性的，评标委员会应当将其作为无效投标处理。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color w:val="auto"/>
          <w:kern w:val="0"/>
          <w:sz w:val="24"/>
          <w:highlight w:val="none"/>
          <w:lang w:val="en-US" w:eastAsia="zh-CN"/>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若投标报价也相同，则由采购人或者评标委员会抽签决定顺序。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为排名第一的中标候选人。</w:t>
      </w:r>
      <w:r>
        <w:rPr>
          <w:rFonts w:hint="eastAsia" w:ascii="宋体" w:hAnsi="宋体" w:eastAsia="宋体" w:cs="宋体"/>
          <w:b/>
          <w:bCs/>
          <w:color w:val="auto"/>
          <w:kern w:val="0"/>
          <w:sz w:val="24"/>
          <w:highlight w:val="none"/>
          <w:lang w:val="en-US" w:eastAsia="zh-CN"/>
        </w:rPr>
        <w:t>备注:各标项各推荐3名及以上中标候选人。</w:t>
      </w:r>
    </w:p>
    <w:p>
      <w:pPr>
        <w:kinsoku/>
        <w:wordWrap/>
        <w:overflowPunct/>
        <w:topLinePunct w:val="0"/>
        <w:bidi w:val="0"/>
        <w:spacing w:line="360" w:lineRule="auto"/>
        <w:ind w:firstLine="480" w:firstLineChars="200"/>
        <w:outlineLvl w:val="9"/>
        <w:rPr>
          <w:rFonts w:ascii="宋体" w:hAnsi="宋体" w:cs="宋体"/>
          <w:b/>
          <w:color w:val="auto"/>
          <w:kern w:val="0"/>
          <w:sz w:val="24"/>
          <w:highlight w:val="none"/>
        </w:rPr>
      </w:pPr>
      <w:r>
        <w:rPr>
          <w:rFonts w:hint="eastAsia" w:ascii="宋体" w:hAnsi="宋体" w:cs="宋体"/>
          <w:color w:val="auto"/>
          <w:kern w:val="0"/>
          <w:sz w:val="24"/>
          <w:highlight w:val="none"/>
        </w:rPr>
        <w:t>多家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参加同一合同项下投标的，按一家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计算，评审后得分最高的同品牌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获得中标人推荐资格；评审得分相同的，采取随机抽取方式确定，其他同品牌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不作为中标候选人。</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2"/>
        <w:kinsoku/>
        <w:wordWrap/>
        <w:overflowPunct/>
        <w:topLinePunct w:val="0"/>
        <w:bidi w:val="0"/>
        <w:spacing w:before="0"/>
        <w:ind w:firstLine="472" w:firstLineChars="196"/>
        <w:outlineLvl w:val="9"/>
        <w:rPr>
          <w:rFonts w:ascii="宋体" w:hAnsi="宋体" w:cs="宋体"/>
          <w:color w:val="auto"/>
          <w:kern w:val="0"/>
          <w:szCs w:val="24"/>
          <w:highlight w:val="none"/>
        </w:rPr>
      </w:pPr>
      <w:r>
        <w:rPr>
          <w:rFonts w:hint="eastAsia" w:ascii="宋体" w:hAnsi="宋体" w:cs="宋体"/>
          <w:b/>
          <w:color w:val="auto"/>
          <w:kern w:val="0"/>
          <w:szCs w:val="24"/>
          <w:highlight w:val="none"/>
        </w:rPr>
        <w:t>4.1</w:t>
      </w:r>
      <w:r>
        <w:rPr>
          <w:rFonts w:hint="eastAsia" w:ascii="宋体" w:hAnsi="宋体" w:cs="宋体"/>
          <w:b/>
          <w:color w:val="auto"/>
          <w:kern w:val="0"/>
          <w:szCs w:val="24"/>
          <w:highlight w:val="none"/>
          <w:lang w:eastAsia="zh-CN"/>
        </w:rPr>
        <w:t>供应商</w:t>
      </w:r>
      <w:r>
        <w:rPr>
          <w:rFonts w:hint="eastAsia" w:ascii="宋体" w:hAnsi="宋体" w:cs="宋体"/>
          <w:b/>
          <w:color w:val="auto"/>
          <w:kern w:val="0"/>
          <w:szCs w:val="24"/>
          <w:highlight w:val="none"/>
        </w:rPr>
        <w:t>澄清、说明或者补正。</w:t>
      </w:r>
      <w:r>
        <w:rPr>
          <w:rFonts w:hint="eastAsia" w:ascii="宋体" w:hAnsi="宋体" w:cs="宋体"/>
          <w:color w:val="auto"/>
          <w:kern w:val="0"/>
          <w:szCs w:val="24"/>
          <w:highlight w:val="none"/>
        </w:rPr>
        <w:t>对于投标文件中含义不明确、同类问题表述不一致或者有明显文字和计算错误的内容需要</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作出必要的澄清、说明或者补正的，评标委员会和</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通过电子交易平台交换数据电文，</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提交使用电子签名的相关数据电文或通过平台上传加盖公章的扫描件。给予</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提交澄清、说明或补正的时间不得少于半小时，</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已经明确表示澄清说明或补正完毕的除外。</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的澄清、说明或者补正不得超出投标文件的范围或者改变投标文件的实质性内容。</w:t>
      </w:r>
    </w:p>
    <w:p>
      <w:pPr>
        <w:pStyle w:val="26"/>
        <w:kinsoku/>
        <w:wordWrap/>
        <w:overflowPunct/>
        <w:topLinePunct w:val="0"/>
        <w:bidi w:val="0"/>
        <w:spacing w:line="360" w:lineRule="auto"/>
        <w:ind w:left="954" w:leftChars="226" w:hanging="479" w:firstLineChars="0"/>
        <w:outlineLvl w:val="9"/>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未提供有效的资格文件的，视为</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4.2.6</w:t>
      </w:r>
      <w:r>
        <w:rPr>
          <w:rFonts w:hint="eastAsia" w:ascii="宋体" w:hAnsi="宋体" w:eastAsia="宋体" w:cs="宋体"/>
          <w:color w:val="auto"/>
          <w:kern w:val="0"/>
          <w:sz w:val="24"/>
          <w:highlight w:val="none"/>
        </w:rPr>
        <w:t>投标</w:t>
      </w:r>
      <w:r>
        <w:rPr>
          <w:rFonts w:hint="eastAsia" w:ascii="宋体" w:hAnsi="宋体" w:cs="宋体"/>
          <w:color w:val="auto"/>
          <w:kern w:val="0"/>
          <w:sz w:val="24"/>
          <w:highlight w:val="none"/>
        </w:rPr>
        <w:t>文件出现不是唯一的、有选择性投标报价的</w:t>
      </w:r>
      <w:r>
        <w:rPr>
          <w:rFonts w:hint="eastAsia" w:ascii="宋体" w:hAnsi="宋体" w:cs="宋体"/>
          <w:color w:val="auto"/>
          <w:kern w:val="0"/>
          <w:sz w:val="24"/>
          <w:highlight w:val="none"/>
          <w:lang w:eastAsia="zh-CN"/>
        </w:rPr>
        <w:t>；</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4.2.8报价明显低于其他通过符合性审查</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4.2.9</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4.2.10</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提供虚假材料投标的；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有恶意串通、妨碍其他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的竞争行为、损害采购人或者其他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的合法权益情形的；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4.2.12</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lang w:val="en-US"/>
        </w:rPr>
      </w:pPr>
      <w:r>
        <w:rPr>
          <w:rFonts w:hint="eastAsia" w:ascii="宋体" w:hAnsi="宋体" w:eastAsia="宋体" w:cs="宋体"/>
          <w:b w:val="0"/>
          <w:bCs w:val="0"/>
          <w:color w:val="auto"/>
          <w:kern w:val="0"/>
          <w:sz w:val="24"/>
          <w:szCs w:val="24"/>
          <w:highlight w:val="none"/>
          <w:lang w:val="en-US"/>
        </w:rPr>
        <w:t>4.2.13 投标</w:t>
      </w:r>
      <w:r>
        <w:rPr>
          <w:rFonts w:hint="eastAsia" w:ascii="宋体" w:hAnsi="宋体" w:eastAsia="宋体" w:cs="宋体"/>
          <w:color w:val="auto"/>
          <w:kern w:val="0"/>
          <w:sz w:val="24"/>
          <w:highlight w:val="none"/>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6"/>
        <w:kinsoku/>
        <w:wordWrap/>
        <w:overflowPunct/>
        <w:topLinePunct w:val="0"/>
        <w:bidi w:val="0"/>
        <w:snapToGrid w:val="0"/>
        <w:spacing w:line="360" w:lineRule="auto"/>
        <w:ind w:firstLine="472" w:firstLineChars="196"/>
        <w:outlineLvl w:val="9"/>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5.1符合专业条件的供应商或者对招标文件作实质响应的供应商不足3家的；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5.2出现影响采购公正的违法、违规行为的；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5.3</w:t>
      </w:r>
      <w:r>
        <w:rPr>
          <w:rFonts w:hint="eastAsia" w:cs="宋体"/>
          <w:color w:val="auto"/>
          <w:highlight w:val="none"/>
          <w:lang w:eastAsia="zh-CN"/>
        </w:rPr>
        <w:t>供应商</w:t>
      </w:r>
      <w:r>
        <w:rPr>
          <w:rFonts w:hint="eastAsia" w:cs="宋体"/>
          <w:color w:val="auto"/>
          <w:highlight w:val="none"/>
        </w:rPr>
        <w:t>的报价均超过了采购预算，采购人不能支付的；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5.4因重大变故，采购任务取消的。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w:t>
      </w:r>
      <w:r>
        <w:rPr>
          <w:rFonts w:hint="eastAsia" w:cs="宋体"/>
          <w:color w:val="auto"/>
          <w:highlight w:val="none"/>
          <w:lang w:eastAsia="zh-CN"/>
        </w:rPr>
        <w:t>供应商</w:t>
      </w:r>
      <w:r>
        <w:rPr>
          <w:rFonts w:hint="eastAsia" w:cs="宋体"/>
          <w:color w:val="auto"/>
          <w:highlight w:val="none"/>
        </w:rPr>
        <w:t>。</w:t>
      </w:r>
    </w:p>
    <w:p>
      <w:pPr>
        <w:pStyle w:val="26"/>
        <w:kinsoku/>
        <w:wordWrap/>
        <w:overflowPunct/>
        <w:topLinePunct w:val="0"/>
        <w:bidi w:val="0"/>
        <w:snapToGrid w:val="0"/>
        <w:spacing w:line="360" w:lineRule="auto"/>
        <w:ind w:firstLine="590" w:firstLineChars="245"/>
        <w:outlineLvl w:val="9"/>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kinsoku/>
        <w:wordWrap/>
        <w:overflowPunct/>
        <w:topLinePunct w:val="0"/>
        <w:bidi w:val="0"/>
        <w:snapToGrid w:val="0"/>
        <w:spacing w:line="360" w:lineRule="auto"/>
        <w:ind w:firstLine="482"/>
        <w:outlineLvl w:val="9"/>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7.1未确定中标供应商的，终止本次政府采购活动，重新开展政府采购活动。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kinsoku/>
        <w:wordWrap/>
        <w:overflowPunct/>
        <w:topLinePunct w:val="0"/>
        <w:bidi w:val="0"/>
        <w:snapToGrid w:val="0"/>
        <w:spacing w:line="360" w:lineRule="auto"/>
        <w:ind w:firstLine="0" w:firstLineChars="0"/>
        <w:outlineLvl w:val="9"/>
        <w:rPr>
          <w:rFonts w:cs="宋体"/>
          <w:color w:val="auto"/>
          <w:highlight w:val="none"/>
        </w:rPr>
      </w:pPr>
    </w:p>
    <w:bookmarkEnd w:id="33"/>
    <w:p>
      <w:pPr>
        <w:kinsoku/>
        <w:wordWrap/>
        <w:overflowPunct/>
        <w:topLinePunct w:val="0"/>
        <w:bidi w:val="0"/>
        <w:spacing w:line="360" w:lineRule="auto"/>
        <w:ind w:left="720" w:leftChars="343" w:firstLine="1084" w:firstLineChars="300"/>
        <w:outlineLvl w:val="9"/>
        <w:rPr>
          <w:rFonts w:ascii="宋体" w:hAnsi="宋体" w:cs="宋体"/>
          <w:b/>
          <w:color w:val="auto"/>
          <w:sz w:val="36"/>
          <w:szCs w:val="36"/>
          <w:highlight w:val="none"/>
        </w:rPr>
      </w:pPr>
      <w:bookmarkStart w:id="403" w:name="第五部分"/>
      <w:bookmarkStart w:id="404" w:name="_Toc86217003"/>
    </w:p>
    <w:p>
      <w:pPr>
        <w:kinsoku/>
        <w:wordWrap/>
        <w:overflowPunct/>
        <w:topLinePunct w:val="0"/>
        <w:bidi w:val="0"/>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kinsoku/>
        <w:wordWrap/>
        <w:overflowPunct/>
        <w:topLinePunct w:val="0"/>
        <w:bidi w:val="0"/>
        <w:spacing w:line="360" w:lineRule="auto"/>
        <w:ind w:left="720" w:leftChars="343" w:firstLine="1084" w:firstLineChars="300"/>
        <w:outlineLvl w:val="0"/>
        <w:rPr>
          <w:rFonts w:ascii="宋体" w:hAnsi="宋体" w:cs="宋体"/>
          <w:b/>
          <w:color w:val="auto"/>
          <w:sz w:val="36"/>
          <w:szCs w:val="36"/>
          <w:highlight w:val="none"/>
        </w:rPr>
      </w:pPr>
      <w:bookmarkStart w:id="405" w:name="_Toc8264"/>
      <w:r>
        <w:rPr>
          <w:rFonts w:hint="eastAsia" w:ascii="宋体" w:hAnsi="宋体" w:cs="宋体"/>
          <w:b/>
          <w:color w:val="auto"/>
          <w:sz w:val="36"/>
          <w:szCs w:val="36"/>
          <w:highlight w:val="none"/>
        </w:rPr>
        <w:t>第五部分 拟签订的合同文本</w:t>
      </w:r>
      <w:bookmarkEnd w:id="405"/>
    </w:p>
    <w:p>
      <w:pPr>
        <w:kinsoku/>
        <w:wordWrap/>
        <w:overflowPunct/>
        <w:topLinePunct w:val="0"/>
        <w:bidi w:val="0"/>
        <w:outlineLvl w:val="9"/>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kinsoku/>
        <w:wordWrap/>
        <w:overflowPunct/>
        <w:topLinePunct w:val="0"/>
        <w:bidi w:val="0"/>
        <w:spacing w:line="480" w:lineRule="auto"/>
        <w:jc w:val="center"/>
        <w:outlineLvl w:val="9"/>
        <w:rPr>
          <w:rFonts w:ascii="宋体" w:hAnsi="宋体" w:cs="宋体"/>
          <w:b/>
          <w:color w:val="auto"/>
          <w:sz w:val="28"/>
          <w:szCs w:val="28"/>
          <w:highlight w:val="none"/>
        </w:rPr>
      </w:pPr>
    </w:p>
    <w:p>
      <w:pPr>
        <w:kinsoku/>
        <w:wordWrap/>
        <w:overflowPunct/>
        <w:topLinePunct w:val="0"/>
        <w:bidi w:val="0"/>
        <w:spacing w:line="480" w:lineRule="auto"/>
        <w:jc w:val="center"/>
        <w:outlineLvl w:val="9"/>
        <w:rPr>
          <w:rFonts w:ascii="宋体" w:hAnsi="宋体" w:cs="宋体"/>
          <w:b/>
          <w:color w:val="auto"/>
          <w:sz w:val="24"/>
          <w:highlight w:val="none"/>
        </w:rPr>
      </w:pPr>
    </w:p>
    <w:p>
      <w:pPr>
        <w:kinsoku/>
        <w:wordWrap/>
        <w:overflowPunct/>
        <w:topLinePunct w:val="0"/>
        <w:bidi w:val="0"/>
        <w:spacing w:line="480" w:lineRule="auto"/>
        <w:jc w:val="center"/>
        <w:outlineLvl w:val="9"/>
        <w:rPr>
          <w:rFonts w:ascii="宋体" w:hAnsi="宋体" w:cs="宋体"/>
          <w:b/>
          <w:color w:val="auto"/>
          <w:sz w:val="24"/>
          <w:highlight w:val="none"/>
        </w:rPr>
      </w:pPr>
    </w:p>
    <w:p>
      <w:pPr>
        <w:kinsoku/>
        <w:wordWrap/>
        <w:overflowPunct/>
        <w:topLinePunct w:val="0"/>
        <w:bidi w:val="0"/>
        <w:spacing w:line="480" w:lineRule="auto"/>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kinsoku/>
        <w:wordWrap/>
        <w:overflowPunct/>
        <w:topLinePunct w:val="0"/>
        <w:bidi w:val="0"/>
        <w:spacing w:line="480" w:lineRule="auto"/>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w:t>
      </w:r>
      <w:r>
        <w:rPr>
          <w:rFonts w:hint="eastAsia" w:ascii="宋体" w:hAnsi="宋体" w:cs="宋体"/>
          <w:b/>
          <w:color w:val="auto"/>
          <w:sz w:val="36"/>
          <w:szCs w:val="36"/>
          <w:highlight w:val="none"/>
          <w:lang w:val="en-US" w:eastAsia="zh-CN"/>
        </w:rPr>
        <w:t>服务类</w:t>
      </w:r>
      <w:r>
        <w:rPr>
          <w:rFonts w:hint="eastAsia" w:ascii="宋体" w:hAnsi="宋体" w:cs="宋体"/>
          <w:b/>
          <w:color w:val="auto"/>
          <w:sz w:val="36"/>
          <w:szCs w:val="36"/>
          <w:highlight w:val="none"/>
        </w:rPr>
        <w:t>）</w:t>
      </w: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jc w:val="center"/>
        <w:outlineLvl w:val="9"/>
        <w:rPr>
          <w:rFonts w:ascii="宋体" w:hAnsi="宋体" w:cs="宋体"/>
          <w:color w:val="auto"/>
          <w:szCs w:val="24"/>
          <w:highlight w:val="none"/>
        </w:rPr>
      </w:pPr>
    </w:p>
    <w:p>
      <w:pPr>
        <w:pStyle w:val="699"/>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outlineLvl w:val="9"/>
        <w:rPr>
          <w:rFonts w:ascii="宋体" w:hAnsi="宋体" w:cs="宋体"/>
          <w:color w:val="auto"/>
          <w:szCs w:val="24"/>
          <w:highlight w:val="none"/>
        </w:rPr>
      </w:pP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2024-2026年度宁海县城区公共环境除四害项目</w:t>
      </w:r>
    </w:p>
    <w:p>
      <w:pPr>
        <w:pStyle w:val="596"/>
        <w:kinsoku/>
        <w:wordWrap/>
        <w:overflowPunct/>
        <w:topLinePunct w:val="0"/>
        <w:bidi w:val="0"/>
        <w:spacing w:before="120" w:line="22" w:lineRule="atLeast"/>
        <w:outlineLvl w:val="9"/>
        <w:rPr>
          <w:rFonts w:ascii="宋体" w:hAnsi="宋体" w:eastAsia="宋体" w:cs="宋体"/>
          <w:color w:val="auto"/>
          <w:szCs w:val="24"/>
          <w:highlight w:val="none"/>
        </w:rPr>
      </w:pPr>
    </w:p>
    <w:p>
      <w:pPr>
        <w:kinsoku/>
        <w:wordWrap/>
        <w:overflowPunct/>
        <w:topLinePunct w:val="0"/>
        <w:bidi w:val="0"/>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lang w:eastAsia="zh-CN"/>
        </w:rPr>
        <w:t>宁海县卫生健康局</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firstLine="960" w:firstLineChars="400"/>
        <w:outlineLvl w:val="9"/>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宁海县</w:t>
      </w:r>
      <w:r>
        <w:rPr>
          <w:rFonts w:hint="eastAsia" w:ascii="宋体" w:hAnsi="宋体" w:cs="宋体"/>
          <w:color w:val="auto"/>
          <w:sz w:val="24"/>
          <w:highlight w:val="none"/>
          <w:u w:val="single"/>
        </w:rPr>
        <w:t xml:space="preserve">  </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firstLine="960" w:firstLineChars="400"/>
        <w:outlineLvl w:val="9"/>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82"/>
        <w:rPr>
          <w:color w:val="auto"/>
          <w:highlight w:val="none"/>
        </w:rPr>
      </w:pP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color w:val="auto"/>
          <w:sz w:val="24"/>
          <w:highlight w:val="none"/>
          <w:u w:val="single"/>
          <w:lang w:val="zh-CN"/>
        </w:rPr>
      </w:pP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color w:val="auto"/>
          <w:sz w:val="24"/>
          <w:highlight w:val="none"/>
          <w:u w:val="single"/>
          <w:lang w:val="zh-CN"/>
        </w:rPr>
      </w:pP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u w:val="single"/>
          <w:lang w:val="en-US" w:eastAsia="zh-CN"/>
        </w:rPr>
        <w:t>2024</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宁海县卫生健康局</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公开招标</w:t>
      </w:r>
      <w:r>
        <w:rPr>
          <w:rFonts w:ascii="宋体" w:hAnsi="宋体"/>
          <w:color w:val="auto"/>
          <w:sz w:val="24"/>
          <w:highlight w:val="none"/>
          <w:u w:val="single"/>
        </w:rPr>
        <w:t xml:space="preserve">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2024-2026年度宁海县城区公共环境除四害项目</w:t>
      </w:r>
      <w:r>
        <w:rPr>
          <w:rFonts w:ascii="宋体" w:hAnsi="宋体"/>
          <w:color w:val="auto"/>
          <w:sz w:val="24"/>
          <w:highlight w:val="none"/>
          <w:u w:val="single"/>
        </w:rPr>
        <w:t xml:space="preserve"> </w:t>
      </w:r>
      <w:r>
        <w:rPr>
          <w:rFonts w:hint="eastAsia" w:ascii="宋体" w:hAnsi="宋体"/>
          <w:color w:val="auto"/>
          <w:sz w:val="24"/>
          <w:highlight w:val="none"/>
        </w:rPr>
        <w:t>进行了采购。经</w:t>
      </w:r>
      <w:r>
        <w:rPr>
          <w:rFonts w:hint="eastAsia" w:ascii="宋体" w:hAnsi="宋体"/>
          <w:color w:val="auto"/>
          <w:sz w:val="24"/>
          <w:highlight w:val="none"/>
          <w:u w:val="single"/>
          <w:lang w:val="en-US" w:eastAsia="zh-CN"/>
        </w:rPr>
        <w:t>评标委员会</w:t>
      </w:r>
      <w:r>
        <w:rPr>
          <w:rFonts w:hint="eastAsia" w:ascii="宋体" w:hAnsi="宋体"/>
          <w:color w:val="auto"/>
          <w:sz w:val="24"/>
          <w:highlight w:val="none"/>
        </w:rPr>
        <w:t>评定，</w:t>
      </w:r>
      <w:r>
        <w:rPr>
          <w:rFonts w:ascii="宋体" w:hAnsi="宋体"/>
          <w:color w:val="auto"/>
          <w:sz w:val="24"/>
          <w:highlight w:val="none"/>
          <w:u w:val="single"/>
        </w:rPr>
        <w:t xml:space="preserve">   （中标供应商</w:t>
      </w:r>
      <w:r>
        <w:rPr>
          <w:rFonts w:hint="eastAsia" w:ascii="宋体" w:hAnsi="宋体"/>
          <w:color w:val="auto"/>
          <w:sz w:val="24"/>
          <w:highlight w:val="none"/>
          <w:u w:val="single"/>
          <w:lang w:val="en-US" w:eastAsia="zh-CN"/>
        </w:rPr>
        <w:t>名称</w:t>
      </w:r>
      <w:r>
        <w:rPr>
          <w:rFonts w:ascii="宋体" w:hAnsi="宋体"/>
          <w:color w:val="auto"/>
          <w:sz w:val="24"/>
          <w:highlight w:val="none"/>
          <w:u w:val="single"/>
        </w:rPr>
        <w:t xml:space="preserve">） </w:t>
      </w:r>
      <w:r>
        <w:rPr>
          <w:rFonts w:hint="eastAsia" w:ascii="宋体" w:hAnsi="宋体"/>
          <w:color w:val="auto"/>
          <w:sz w:val="24"/>
          <w:highlight w:val="none"/>
        </w:rPr>
        <w:t>为该项目</w:t>
      </w:r>
      <w:r>
        <w:rPr>
          <w:rFonts w:hint="eastAsia" w:ascii="宋体" w:hAnsi="宋体" w:cs="宋体"/>
          <w:color w:val="auto"/>
          <w:sz w:val="24"/>
          <w:highlight w:val="none"/>
        </w:rPr>
        <w:t>中标供应商</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宁海县卫生健康局</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中标供应商名称</w:t>
      </w:r>
      <w:r>
        <w:rPr>
          <w:rFonts w:ascii="宋体" w:hAnsi="宋体"/>
          <w:color w:val="auto"/>
          <w:sz w:val="24"/>
          <w:highlight w:val="none"/>
          <w:u w:val="single"/>
        </w:rPr>
        <w:t xml:space="preserve">）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hd w:val="clear"/>
        <w:spacing w:line="560" w:lineRule="exact"/>
        <w:ind w:firstLine="482" w:firstLineChars="200"/>
        <w:outlineLvl w:val="0"/>
        <w:rPr>
          <w:rFonts w:ascii="宋体" w:hAnsi="宋体"/>
          <w:color w:val="auto"/>
          <w:sz w:val="24"/>
          <w:highlight w:val="none"/>
        </w:rPr>
      </w:pPr>
      <w:bookmarkStart w:id="406" w:name="_Toc20421"/>
      <w:bookmarkStart w:id="407" w:name="_Toc28855"/>
      <w:bookmarkStart w:id="408" w:name="_Toc19273"/>
      <w:bookmarkStart w:id="409" w:name="_Toc22967"/>
      <w:bookmarkStart w:id="410"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406"/>
      <w:bookmarkEnd w:id="407"/>
      <w:bookmarkEnd w:id="408"/>
      <w:bookmarkEnd w:id="409"/>
      <w:bookmarkEnd w:id="410"/>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olor w:val="auto"/>
          <w:sz w:val="24"/>
          <w:highlight w:val="none"/>
          <w:lang w:eastAsia="zh-CN"/>
        </w:rPr>
        <w:t>招标文件</w:t>
      </w:r>
      <w:r>
        <w:rPr>
          <w:rFonts w:hint="eastAsia" w:ascii="宋体" w:hAnsi="宋体"/>
          <w:color w:val="auto"/>
          <w:sz w:val="24"/>
          <w:highlight w:val="none"/>
        </w:rPr>
        <w:t>确定的事项的前提下，组成本合同的多个文件的优先适用顺序如下：</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中标通知书；</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投标文件（含澄清或者说明文件）；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lang w:eastAsia="zh-CN"/>
        </w:rPr>
        <w:t>招标文件</w:t>
      </w:r>
      <w:r>
        <w:rPr>
          <w:rFonts w:hint="eastAsia" w:ascii="宋体" w:hAnsi="宋体"/>
          <w:color w:val="auto"/>
          <w:sz w:val="24"/>
          <w:highlight w:val="none"/>
        </w:rPr>
        <w:t>（含澄清或者修改文件）；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w:t>
      </w:r>
      <w:r>
        <w:rPr>
          <w:rFonts w:hint="eastAsia" w:ascii="宋体" w:hAnsi="宋体"/>
          <w:color w:val="auto"/>
          <w:sz w:val="24"/>
          <w:highlight w:val="none"/>
          <w:lang w:eastAsia="zh-CN"/>
        </w:rPr>
        <w:t>招标文件</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11" w:name="_Toc6773"/>
      <w:bookmarkStart w:id="412" w:name="_Toc6311"/>
      <w:bookmarkStart w:id="413" w:name="_Toc22185"/>
      <w:bookmarkStart w:id="414" w:name="_Toc18585"/>
      <w:bookmarkStart w:id="415" w:name="_Toc2918"/>
      <w:r>
        <w:rPr>
          <w:rFonts w:ascii="宋体" w:hAnsi="宋体"/>
          <w:b/>
          <w:color w:val="auto"/>
          <w:sz w:val="24"/>
          <w:highlight w:val="none"/>
        </w:rPr>
        <w:t xml:space="preserve">1.2 </w:t>
      </w:r>
      <w:r>
        <w:rPr>
          <w:rFonts w:hint="eastAsia" w:ascii="宋体" w:hAnsi="宋体"/>
          <w:b/>
          <w:color w:val="auto"/>
          <w:sz w:val="24"/>
          <w:highlight w:val="none"/>
        </w:rPr>
        <w:t>标的</w:t>
      </w:r>
      <w:bookmarkEnd w:id="411"/>
      <w:bookmarkEnd w:id="412"/>
      <w:bookmarkEnd w:id="413"/>
      <w:bookmarkEnd w:id="414"/>
      <w:bookmarkEnd w:id="415"/>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p>
    <w:p>
      <w:pPr>
        <w:shd w:val="clea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16" w:name="_Toc4929"/>
      <w:bookmarkStart w:id="417" w:name="_Toc5635"/>
      <w:bookmarkStart w:id="418" w:name="_Toc21124"/>
      <w:bookmarkStart w:id="419" w:name="_Toc13918"/>
      <w:bookmarkStart w:id="420" w:name="_Toc1386"/>
      <w:r>
        <w:rPr>
          <w:rFonts w:ascii="宋体" w:hAnsi="宋体"/>
          <w:b/>
          <w:color w:val="auto"/>
          <w:sz w:val="24"/>
          <w:highlight w:val="none"/>
        </w:rPr>
        <w:t>1.3 价款</w:t>
      </w:r>
      <w:bookmarkEnd w:id="416"/>
      <w:bookmarkEnd w:id="417"/>
      <w:bookmarkEnd w:id="418"/>
      <w:bookmarkEnd w:id="419"/>
      <w:bookmarkEnd w:id="420"/>
    </w:p>
    <w:p>
      <w:pPr>
        <w:shd w:val="clea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1.3.1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hd w:val="clear"/>
        <w:spacing w:line="560" w:lineRule="exact"/>
        <w:ind w:firstLine="482" w:firstLineChars="200"/>
        <w:outlineLvl w:val="0"/>
        <w:rPr>
          <w:rFonts w:hint="eastAsia" w:ascii="宋体" w:hAnsi="宋体" w:eastAsia="宋体" w:cs="Times New Roman"/>
          <w:b/>
          <w:color w:val="auto"/>
          <w:sz w:val="24"/>
          <w:highlight w:val="none"/>
        </w:rPr>
      </w:pPr>
      <w:bookmarkStart w:id="421" w:name="_Toc10340"/>
      <w:bookmarkStart w:id="422" w:name="_Toc1814"/>
      <w:bookmarkStart w:id="423" w:name="_Toc22618"/>
      <w:bookmarkStart w:id="424" w:name="_Toc4760"/>
      <w:bookmarkStart w:id="425" w:name="_Toc8772"/>
      <w:bookmarkStart w:id="426" w:name="_Toc11108"/>
      <w:bookmarkStart w:id="427" w:name="_Toc31421"/>
      <w:bookmarkStart w:id="428" w:name="_Toc3625"/>
      <w:r>
        <w:rPr>
          <w:rFonts w:hint="eastAsia" w:ascii="宋体" w:hAnsi="宋体" w:eastAsia="宋体" w:cs="Times New Roman"/>
          <w:b/>
          <w:color w:val="auto"/>
          <w:sz w:val="24"/>
          <w:highlight w:val="none"/>
        </w:rPr>
        <w:t>1.4履约保证金</w:t>
      </w:r>
    </w:p>
    <w:p>
      <w:pPr>
        <w:shd w:val="clear"/>
        <w:spacing w:line="560" w:lineRule="exact"/>
        <w:ind w:left="479" w:leftChars="228" w:firstLine="0" w:firstLineChars="0"/>
        <w:outlineLvl w:val="0"/>
        <w:rPr>
          <w:rFonts w:hint="eastAsia" w:ascii="宋体" w:hAnsi="宋体" w:eastAsia="宋体" w:cs="Times New Roman"/>
          <w:b/>
          <w:color w:val="auto"/>
          <w:sz w:val="24"/>
          <w:highlight w:val="none"/>
        </w:rPr>
      </w:pPr>
      <w:r>
        <w:rPr>
          <w:rFonts w:hint="eastAsia" w:ascii="宋体" w:hAnsi="宋体" w:eastAsia="宋体" w:cs="Times New Roman"/>
          <w:b w:val="0"/>
          <w:bCs/>
          <w:color w:val="auto"/>
          <w:sz w:val="24"/>
          <w:highlight w:val="none"/>
          <w:u w:val="none"/>
          <w:lang w:val="en-US" w:eastAsia="zh-CN"/>
        </w:rPr>
        <w:t>本项目不适用。</w:t>
      </w:r>
      <w:r>
        <w:rPr>
          <w:rFonts w:hint="eastAsia" w:ascii="宋体" w:hAnsi="宋体" w:eastAsia="宋体" w:cs="Times New Roman"/>
          <w:b/>
          <w:color w:val="auto"/>
          <w:sz w:val="24"/>
          <w:highlight w:val="none"/>
          <w:lang w:val="en-US" w:eastAsia="zh-CN"/>
        </w:rPr>
        <w:br w:type="textWrapping"/>
      </w:r>
      <w:r>
        <w:rPr>
          <w:rFonts w:hint="eastAsia" w:ascii="宋体" w:hAnsi="宋体" w:eastAsia="宋体" w:cs="Times New Roman"/>
          <w:b/>
          <w:color w:val="auto"/>
          <w:sz w:val="24"/>
          <w:highlight w:val="none"/>
        </w:rPr>
        <w:t>1.5</w:t>
      </w:r>
      <w:bookmarkEnd w:id="421"/>
      <w:bookmarkEnd w:id="422"/>
      <w:bookmarkEnd w:id="423"/>
      <w:r>
        <w:rPr>
          <w:rFonts w:hint="eastAsia" w:ascii="宋体" w:hAnsi="宋体" w:eastAsia="宋体" w:cs="Times New Roman"/>
          <w:b/>
          <w:color w:val="auto"/>
          <w:sz w:val="24"/>
          <w:highlight w:val="none"/>
        </w:rPr>
        <w:t>预付款</w:t>
      </w:r>
    </w:p>
    <w:p>
      <w:pPr>
        <w:pStyle w:val="957"/>
        <w:shd w:val="clear"/>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u w:val="single"/>
          <w:lang w:val="en-US" w:eastAsia="zh-CN"/>
        </w:rPr>
        <w:t>是</w:t>
      </w:r>
      <w:r>
        <w:rPr>
          <w:rFonts w:hint="eastAsia"/>
          <w:color w:val="auto"/>
          <w:highlight w:val="none"/>
          <w:u w:val="single"/>
        </w:rPr>
        <w:t xml:space="preserve"> </w:t>
      </w:r>
      <w:r>
        <w:rPr>
          <w:rFonts w:hint="eastAsia"/>
          <w:color w:val="auto"/>
          <w:highlight w:val="none"/>
        </w:rPr>
        <w:t>需要支付预付款。</w:t>
      </w:r>
    </w:p>
    <w:p>
      <w:pPr>
        <w:pStyle w:val="957"/>
        <w:shd w:val="clear"/>
        <w:spacing w:before="0" w:beforeAutospacing="0" w:after="0" w:afterAutospacing="0" w:line="360" w:lineRule="auto"/>
        <w:ind w:firstLine="480"/>
        <w:rPr>
          <w:rFonts w:hint="eastAsia" w:ascii="宋体" w:hAnsi="宋体" w:eastAsia="宋体" w:cs="宋体"/>
          <w:color w:val="auto"/>
          <w:highlight w:val="none"/>
          <w:lang w:val="en-US" w:eastAsia="zh-CN"/>
        </w:rPr>
      </w:pPr>
      <w:r>
        <w:rPr>
          <w:rFonts w:hint="eastAsia" w:ascii="宋体" w:hAnsi="宋体" w:cs="宋体"/>
          <w:color w:val="auto"/>
          <w:kern w:val="0"/>
          <w:sz w:val="24"/>
          <w:highlight w:val="none"/>
        </w:rPr>
        <w:t>1.5.1预付款比例、支付方式、时间</w:t>
      </w:r>
      <w:r>
        <w:rPr>
          <w:rFonts w:hint="eastAsia" w:cs="宋体"/>
          <w:color w:val="auto"/>
          <w:kern w:val="0"/>
          <w:sz w:val="24"/>
          <w:highlight w:val="none"/>
          <w:lang w:eastAsia="zh-CN"/>
        </w:rPr>
        <w:t>：</w:t>
      </w:r>
      <w:r>
        <w:rPr>
          <w:rFonts w:hint="eastAsia" w:ascii="宋体" w:hAnsi="宋体" w:eastAsia="宋体" w:cs="Times New Roman"/>
          <w:b/>
          <w:i w:val="0"/>
          <w:iCs/>
          <w:color w:val="auto"/>
          <w:kern w:val="2"/>
          <w:sz w:val="24"/>
          <w:szCs w:val="24"/>
          <w:highlight w:val="none"/>
          <w:u w:val="single"/>
          <w:lang w:val="en-US" w:eastAsia="zh-CN" w:bidi="ar-SA"/>
        </w:rPr>
        <w:t xml:space="preserve"> 合同生效及具备实施条件后7个工作日内支付年度合同总价30%的预付款</w:t>
      </w:r>
      <w:r>
        <w:rPr>
          <w:rFonts w:hint="eastAsia" w:cs="Times New Roman"/>
          <w:b/>
          <w:i w:val="0"/>
          <w:iCs/>
          <w:color w:val="auto"/>
          <w:kern w:val="2"/>
          <w:sz w:val="24"/>
          <w:szCs w:val="24"/>
          <w:highlight w:val="none"/>
          <w:u w:val="single"/>
          <w:lang w:val="en-US" w:eastAsia="zh-CN" w:bidi="ar-SA"/>
        </w:rPr>
        <w:t>。</w:t>
      </w:r>
      <w:r>
        <w:rPr>
          <w:rFonts w:hint="eastAsia" w:cs="Times New Roman"/>
          <w:b/>
          <w:i w:val="0"/>
          <w:iCs/>
          <w:color w:val="auto"/>
          <w:kern w:val="2"/>
          <w:sz w:val="24"/>
          <w:szCs w:val="24"/>
          <w:highlight w:val="none"/>
          <w:u w:val="single"/>
          <w:lang w:val="en-US" w:eastAsia="zh-CN" w:bidi="ar-SA"/>
        </w:rPr>
        <w:br w:type="textWrapping"/>
      </w:r>
      <w:r>
        <w:rPr>
          <w:rFonts w:hint="eastAsia" w:cs="Times New Roman"/>
          <w:b/>
          <w:i w:val="0"/>
          <w:iCs/>
          <w:color w:val="auto"/>
          <w:kern w:val="2"/>
          <w:sz w:val="24"/>
          <w:szCs w:val="24"/>
          <w:highlight w:val="none"/>
          <w:u w:val="none"/>
          <w:lang w:val="en-US" w:eastAsia="zh-CN" w:bidi="ar-SA"/>
        </w:rPr>
        <w:t xml:space="preserve">    </w:t>
      </w:r>
      <w:r>
        <w:rPr>
          <w:rFonts w:hint="eastAsia" w:ascii="宋体" w:hAnsi="宋体" w:eastAsia="宋体" w:cs="宋体"/>
          <w:color w:val="auto"/>
          <w:highlight w:val="none"/>
          <w:lang w:val="en-US" w:eastAsia="zh-CN"/>
        </w:rPr>
        <w:t>1.5.2预付款担保：</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 xml:space="preserve">    1.5.2.1预付款担保金额：同预付款相等金额；</w:t>
      </w:r>
    </w:p>
    <w:p>
      <w:pPr>
        <w:pStyle w:val="957"/>
        <w:shd w:val="clear"/>
        <w:spacing w:before="0" w:beforeAutospacing="0" w:after="0" w:afterAutospacing="0" w:line="360" w:lineRule="auto"/>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1.5.2.2预付款担保形式：银行出具的保函或保险公司出具的保单；</w:t>
      </w:r>
    </w:p>
    <w:p>
      <w:pPr>
        <w:pStyle w:val="957"/>
        <w:shd w:val="clear"/>
        <w:spacing w:before="0" w:beforeAutospacing="0" w:after="0" w:afterAutospacing="0" w:line="360" w:lineRule="auto"/>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1.5.2.3预付款担保提交时间：年度合同签订，项目具备实施条件后7个工作日内；</w:t>
      </w:r>
    </w:p>
    <w:p>
      <w:pPr>
        <w:pStyle w:val="957"/>
        <w:shd w:val="clear"/>
        <w:spacing w:before="0" w:beforeAutospacing="0" w:after="0" w:afterAutospacing="0" w:line="360" w:lineRule="auto"/>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1.5.2.4预付款担保期限：自甲方支付预付款之日起至年度合同完成并通过验收合格之日止；</w:t>
      </w:r>
    </w:p>
    <w:p>
      <w:pPr>
        <w:pStyle w:val="957"/>
        <w:shd w:val="clear"/>
        <w:spacing w:before="0" w:beforeAutospacing="0" w:after="0" w:afterAutospacing="0" w:line="360" w:lineRule="auto"/>
        <w:ind w:firstLine="48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1.5.2.5预付款担保的退还：年度合同完成并通过验收合格之日后退还预付款担保。</w:t>
      </w:r>
    </w:p>
    <w:p>
      <w:pPr>
        <w:pStyle w:val="957"/>
        <w:shd w:val="clear"/>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7"/>
        <w:shd w:val="clear"/>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4"/>
      <w:bookmarkEnd w:id="425"/>
      <w:bookmarkEnd w:id="426"/>
      <w:bookmarkEnd w:id="427"/>
      <w:bookmarkEnd w:id="428"/>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服务时间</w:t>
      </w:r>
      <w:r>
        <w:rPr>
          <w:rFonts w:ascii="宋体" w:hAnsi="宋体"/>
          <w:color w:val="auto"/>
          <w:sz w:val="24"/>
          <w:highlight w:val="none"/>
        </w:rPr>
        <w:t>：</w:t>
      </w:r>
      <w:r>
        <w:rPr>
          <w:rFonts w:hint="eastAsia" w:ascii="宋体" w:hAnsi="宋体"/>
          <w:b/>
          <w:i w:val="0"/>
          <w:iCs/>
          <w:color w:val="auto"/>
          <w:sz w:val="24"/>
          <w:highlight w:val="none"/>
          <w:u w:val="single"/>
          <w:lang w:val="en-US" w:eastAsia="zh-CN"/>
        </w:rPr>
        <w:t>本项目服务期三年，合同一年一签。根据乙方在合同履约期内按照履约、考核等情况决定是否续签，本次服务期限为2024年 月-2025年 月</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务地点：</w:t>
      </w:r>
      <w:r>
        <w:rPr>
          <w:rFonts w:hint="eastAsia" w:ascii="宋体" w:hAnsi="宋体" w:eastAsia="宋体"/>
          <w:b/>
          <w:i w:val="0"/>
          <w:iCs/>
          <w:color w:val="auto"/>
          <w:sz w:val="24"/>
          <w:highlight w:val="none"/>
          <w:u w:val="single"/>
          <w:lang w:val="en-US" w:eastAsia="zh-CN"/>
        </w:rPr>
        <w:t>甲方指定地点；</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服务方式：</w:t>
      </w:r>
      <w:r>
        <w:rPr>
          <w:rFonts w:hint="eastAsia" w:ascii="宋体" w:hAnsi="宋体" w:eastAsia="宋体"/>
          <w:b/>
          <w:i w:val="0"/>
          <w:iCs/>
          <w:color w:val="auto"/>
          <w:sz w:val="24"/>
          <w:highlight w:val="none"/>
          <w:u w:val="single"/>
          <w:lang w:val="en-US" w:eastAsia="zh-CN"/>
        </w:rPr>
        <w:t>甲方指定方式</w:t>
      </w:r>
      <w:r>
        <w:rPr>
          <w:rFonts w:hint="eastAsia" w:ascii="宋体" w:hAnsi="宋体"/>
          <w:color w:val="auto"/>
          <w:sz w:val="24"/>
          <w:highlight w:val="none"/>
        </w:rPr>
        <w:t>。</w:t>
      </w:r>
    </w:p>
    <w:p>
      <w:pPr>
        <w:shd w:val="clear"/>
        <w:spacing w:line="560" w:lineRule="exact"/>
        <w:ind w:firstLine="482" w:firstLineChars="200"/>
        <w:outlineLvl w:val="0"/>
        <w:rPr>
          <w:rFonts w:ascii="宋体" w:hAnsi="宋体"/>
          <w:color w:val="auto"/>
          <w:sz w:val="24"/>
          <w:highlight w:val="none"/>
          <w:u w:val="single"/>
        </w:rPr>
      </w:pPr>
      <w:bookmarkStart w:id="429" w:name="_Toc2375"/>
      <w:bookmarkStart w:id="430" w:name="_Toc5698"/>
      <w:bookmarkStart w:id="431" w:name="_Toc3079"/>
      <w:bookmarkStart w:id="432" w:name="_Toc24662"/>
      <w:bookmarkStart w:id="433" w:name="_Toc8586"/>
      <w:r>
        <w:rPr>
          <w:rFonts w:ascii="宋体" w:hAnsi="宋体"/>
          <w:b/>
          <w:color w:val="auto"/>
          <w:sz w:val="24"/>
          <w:highlight w:val="none"/>
        </w:rPr>
        <w:t>1.</w:t>
      </w:r>
      <w:r>
        <w:rPr>
          <w:rFonts w:hint="eastAsia" w:ascii="宋体" w:hAnsi="宋体"/>
          <w:b/>
          <w:color w:val="auto"/>
          <w:sz w:val="24"/>
          <w:highlight w:val="none"/>
        </w:rPr>
        <w:t>8违约责任</w:t>
      </w:r>
      <w:bookmarkEnd w:id="429"/>
      <w:bookmarkEnd w:id="430"/>
      <w:bookmarkEnd w:id="431"/>
      <w:bookmarkEnd w:id="432"/>
      <w:bookmarkEnd w:id="433"/>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s="宋体"/>
          <w:color w:val="auto"/>
          <w:sz w:val="24"/>
          <w:highlight w:val="none"/>
        </w:rPr>
        <w:t>除不可抗力外，如果甲方没有按照本合同约定的付款方式付款，那么乙方可</w:t>
      </w:r>
      <w:r>
        <w:rPr>
          <w:rFonts w:hint="eastAsia" w:ascii="宋体" w:hAnsi="宋体" w:eastAsia="宋体" w:cs="Times New Roman"/>
          <w:color w:val="auto"/>
          <w:sz w:val="24"/>
          <w:highlight w:val="none"/>
        </w:rPr>
        <w:t>要求</w:t>
      </w:r>
      <w:r>
        <w:rPr>
          <w:rFonts w:hint="eastAsia" w:ascii="宋体" w:hAnsi="宋体" w:cs="宋体"/>
          <w:color w:val="auto"/>
          <w:sz w:val="24"/>
          <w:highlight w:val="none"/>
        </w:rPr>
        <w:t>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hd w:val="clear"/>
        <w:spacing w:line="560" w:lineRule="exact"/>
        <w:ind w:firstLine="480" w:firstLineChars="200"/>
        <w:rPr>
          <w:rFonts w:ascii="宋体" w:hAnsi="宋体" w:cs="宋体"/>
          <w:color w:val="auto"/>
          <w:sz w:val="24"/>
          <w:highlight w:val="none"/>
        </w:rPr>
      </w:pPr>
      <w:bookmarkStart w:id="434" w:name="_Toc18683"/>
      <w:bookmarkStart w:id="435" w:name="_Toc26807"/>
      <w:bookmarkStart w:id="436" w:name="_Toc9497"/>
      <w:bookmarkStart w:id="437" w:name="_Toc32454"/>
      <w:bookmarkStart w:id="438" w:name="_Toc30329"/>
      <w:r>
        <w:rPr>
          <w:rFonts w:hint="eastAsia" w:ascii="宋体" w:hAnsi="宋体" w:cs="宋体"/>
          <w:color w:val="auto"/>
          <w:sz w:val="24"/>
          <w:highlight w:val="none"/>
        </w:rPr>
        <w:t>1.8.</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p>
      <w:pPr>
        <w:shd w:val="clea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1.8.7违约责任另有约定的，从其约定。</w:t>
      </w:r>
    </w:p>
    <w:bookmarkEnd w:id="434"/>
    <w:bookmarkEnd w:id="435"/>
    <w:bookmarkEnd w:id="436"/>
    <w:bookmarkEnd w:id="437"/>
    <w:bookmarkEnd w:id="438"/>
    <w:p>
      <w:pPr>
        <w:shd w:val="clear"/>
        <w:spacing w:line="560" w:lineRule="exact"/>
        <w:ind w:firstLine="482" w:firstLineChars="200"/>
        <w:outlineLvl w:val="0"/>
        <w:rPr>
          <w:rFonts w:ascii="宋体" w:hAnsi="宋体" w:cs="宋体"/>
          <w:b/>
          <w:color w:val="auto"/>
          <w:sz w:val="24"/>
          <w:highlight w:val="none"/>
        </w:rPr>
      </w:pPr>
      <w:bookmarkStart w:id="439" w:name="_Toc28375"/>
      <w:bookmarkStart w:id="440" w:name="_Toc16021"/>
      <w:bookmarkStart w:id="441" w:name="_Toc15583"/>
      <w:r>
        <w:rPr>
          <w:rFonts w:hint="eastAsia" w:ascii="宋体" w:hAnsi="宋体" w:cs="宋体"/>
          <w:b/>
          <w:color w:val="auto"/>
          <w:sz w:val="24"/>
          <w:highlight w:val="none"/>
        </w:rPr>
        <w:t>1.9合同争议的解决</w:t>
      </w:r>
      <w:bookmarkEnd w:id="439"/>
      <w:bookmarkEnd w:id="440"/>
      <w:bookmarkEnd w:id="441"/>
    </w:p>
    <w:p>
      <w:pPr>
        <w:shd w:val="clear"/>
        <w:spacing w:line="560" w:lineRule="exact"/>
        <w:ind w:left="-61" w:leftChars="-29" w:right="-420" w:rightChars="-200" w:firstLine="240" w:firstLineChars="1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本合同履行过程中发生的任何争议，双方当事人均可通过和解或者调解解决；不愿和解、调解或者和解、调解不成的，可以向</w:t>
      </w:r>
      <w:r>
        <w:rPr>
          <w:rFonts w:hint="eastAsia" w:ascii="宋体" w:hAnsi="宋体" w:cs="宋体"/>
          <w:color w:val="auto"/>
          <w:sz w:val="24"/>
          <w:highlight w:val="none"/>
          <w:lang w:val="en-US" w:eastAsia="zh-CN"/>
        </w:rPr>
        <w:t>宁海县</w:t>
      </w:r>
      <w:r>
        <w:rPr>
          <w:rFonts w:hint="eastAsia" w:ascii="宋体" w:hAnsi="宋体" w:cs="宋体"/>
          <w:color w:val="auto"/>
          <w:sz w:val="24"/>
          <w:highlight w:val="none"/>
        </w:rPr>
        <w:t>人民法院起诉</w:t>
      </w:r>
      <w:bookmarkStart w:id="442" w:name="_Toc7245"/>
      <w:bookmarkStart w:id="443" w:name="_Toc15322"/>
      <w:bookmarkStart w:id="444" w:name="_Toc11173"/>
      <w:r>
        <w:rPr>
          <w:rFonts w:hint="eastAsia" w:ascii="宋体" w:hAnsi="宋体" w:cs="宋体"/>
          <w:color w:val="auto"/>
          <w:sz w:val="24"/>
          <w:highlight w:val="none"/>
          <w:lang w:eastAsia="zh-CN"/>
        </w:rPr>
        <w:t>。</w:t>
      </w:r>
    </w:p>
    <w:p>
      <w:pPr>
        <w:shd w:val="clear"/>
        <w:spacing w:line="560" w:lineRule="exact"/>
        <w:ind w:left="-61" w:leftChars="-29" w:right="-420" w:rightChars="-200" w:firstLine="482" w:firstLineChars="200"/>
        <w:rPr>
          <w:rFonts w:ascii="宋体" w:hAnsi="宋体" w:cs="宋体"/>
          <w:b/>
          <w:color w:val="auto"/>
          <w:sz w:val="24"/>
          <w:highlight w:val="none"/>
        </w:rPr>
      </w:pPr>
      <w:r>
        <w:rPr>
          <w:rFonts w:hint="eastAsia" w:ascii="宋体" w:hAnsi="宋体" w:cs="宋体"/>
          <w:b/>
          <w:color w:val="auto"/>
          <w:sz w:val="24"/>
          <w:highlight w:val="none"/>
        </w:rPr>
        <w:t>2.0 合同生效</w:t>
      </w:r>
      <w:bookmarkEnd w:id="442"/>
      <w:bookmarkEnd w:id="443"/>
      <w:bookmarkEnd w:id="444"/>
    </w:p>
    <w:p>
      <w:pPr>
        <w:shd w:val="clea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shd w:val="clear"/>
        <w:autoSpaceDE w:val="0"/>
        <w:autoSpaceDN w:val="0"/>
        <w:spacing w:line="560" w:lineRule="exact"/>
        <w:rPr>
          <w:rFonts w:ascii="宋体" w:hAnsi="宋体"/>
          <w:color w:val="auto"/>
          <w:sz w:val="24"/>
          <w:highlight w:val="none"/>
          <w:lang w:val="zh-CN"/>
        </w:rPr>
      </w:pPr>
    </w:p>
    <w:p>
      <w:pPr>
        <w:shd w:val="clear"/>
        <w:autoSpaceDE w:val="0"/>
        <w:autoSpaceDN w:val="0"/>
        <w:spacing w:line="560" w:lineRule="exact"/>
        <w:rPr>
          <w:rFonts w:hint="eastAsia" w:ascii="宋体" w:hAnsi="宋体"/>
          <w:b/>
          <w:color w:val="auto"/>
          <w:sz w:val="24"/>
          <w:highlight w:val="none"/>
          <w:lang w:val="zh-CN"/>
        </w:rPr>
      </w:pPr>
    </w:p>
    <w:p>
      <w:pPr>
        <w:shd w:val="clea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hd w:val="clear"/>
        <w:spacing w:line="560" w:lineRule="exact"/>
        <w:jc w:val="left"/>
        <w:rPr>
          <w:rFonts w:ascii="宋体" w:hAnsi="宋体"/>
          <w:b/>
          <w:color w:val="auto"/>
          <w:sz w:val="24"/>
          <w:highlight w:val="none"/>
        </w:rPr>
      </w:pPr>
    </w:p>
    <w:p>
      <w:pPr>
        <w:shd w:val="clear"/>
        <w:autoSpaceDE w:val="0"/>
        <w:autoSpaceDN w:val="0"/>
        <w:spacing w:line="560" w:lineRule="exact"/>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见证方：浙江中基正采管理咨询有限公司</w:t>
      </w:r>
    </w:p>
    <w:p>
      <w:pPr>
        <w:widowControl/>
        <w:shd w:val="clear"/>
        <w:adjustRightInd/>
        <w:jc w:val="left"/>
        <w:rPr>
          <w:rFonts w:ascii="宋体" w:hAnsi="宋体"/>
          <w:b/>
          <w:color w:val="auto"/>
          <w:sz w:val="24"/>
          <w:highlight w:val="none"/>
        </w:rPr>
      </w:pPr>
      <w:r>
        <w:rPr>
          <w:rFonts w:ascii="宋体" w:hAnsi="宋体"/>
          <w:b/>
          <w:color w:val="auto"/>
          <w:highlight w:val="none"/>
        </w:rPr>
        <w:br w:type="page"/>
      </w:r>
    </w:p>
    <w:p>
      <w:pPr>
        <w:pStyle w:val="699"/>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color w:val="auto"/>
          <w:szCs w:val="24"/>
          <w:highlight w:val="none"/>
        </w:rPr>
      </w:pPr>
      <w:r>
        <w:rPr>
          <w:rFonts w:hint="eastAsia" w:ascii="宋体" w:hAnsi="宋体" w:cs="宋体"/>
          <w:b/>
          <w:color w:val="auto"/>
          <w:szCs w:val="24"/>
          <w:highlight w:val="none"/>
        </w:rPr>
        <w:t>第二部分 合同一般条款</w:t>
      </w:r>
    </w:p>
    <w:p>
      <w:pPr>
        <w:shd w:val="clear"/>
        <w:spacing w:line="560" w:lineRule="exact"/>
        <w:ind w:firstLine="482" w:firstLineChars="200"/>
        <w:outlineLvl w:val="0"/>
        <w:rPr>
          <w:rFonts w:ascii="宋体" w:hAnsi="宋体"/>
          <w:b/>
          <w:color w:val="auto"/>
          <w:sz w:val="24"/>
          <w:highlight w:val="none"/>
        </w:rPr>
      </w:pPr>
      <w:bookmarkStart w:id="445" w:name="_Toc14021"/>
      <w:bookmarkStart w:id="446" w:name="_Toc5228"/>
      <w:bookmarkStart w:id="447" w:name="_Toc19680"/>
      <w:bookmarkStart w:id="448" w:name="_Toc25079"/>
      <w:bookmarkStart w:id="449" w:name="_Toc31297"/>
      <w:r>
        <w:rPr>
          <w:rFonts w:ascii="宋体" w:hAnsi="宋体"/>
          <w:b/>
          <w:color w:val="auto"/>
          <w:sz w:val="24"/>
          <w:highlight w:val="none"/>
        </w:rPr>
        <w:t>2.1 定义</w:t>
      </w:r>
      <w:bookmarkEnd w:id="445"/>
      <w:bookmarkEnd w:id="446"/>
      <w:bookmarkEnd w:id="447"/>
      <w:bookmarkEnd w:id="448"/>
      <w:bookmarkEnd w:id="44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hd w:val="clear"/>
        <w:spacing w:line="560" w:lineRule="exact"/>
        <w:ind w:firstLine="482" w:firstLineChars="200"/>
        <w:outlineLvl w:val="0"/>
        <w:rPr>
          <w:rFonts w:ascii="宋体" w:hAnsi="宋体"/>
          <w:b/>
          <w:color w:val="auto"/>
          <w:sz w:val="24"/>
          <w:highlight w:val="none"/>
        </w:rPr>
      </w:pPr>
      <w:bookmarkStart w:id="450" w:name="_Toc3769"/>
      <w:bookmarkStart w:id="451" w:name="_Toc16752"/>
      <w:bookmarkStart w:id="452" w:name="_Toc19539"/>
      <w:bookmarkStart w:id="453" w:name="_Toc23289"/>
      <w:bookmarkStart w:id="454" w:name="_Toc31402"/>
      <w:r>
        <w:rPr>
          <w:rFonts w:ascii="宋体" w:hAnsi="宋体"/>
          <w:b/>
          <w:color w:val="auto"/>
          <w:sz w:val="24"/>
          <w:highlight w:val="none"/>
        </w:rPr>
        <w:t>2.2 技术规范</w:t>
      </w:r>
      <w:bookmarkEnd w:id="450"/>
      <w:bookmarkEnd w:id="451"/>
      <w:bookmarkEnd w:id="452"/>
      <w:bookmarkEnd w:id="453"/>
      <w:bookmarkEnd w:id="454"/>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w:t>
      </w:r>
      <w:r>
        <w:rPr>
          <w:rFonts w:hint="eastAsia" w:ascii="宋体" w:hAnsi="宋体"/>
          <w:color w:val="auto"/>
          <w:sz w:val="24"/>
          <w:highlight w:val="none"/>
          <w:lang w:eastAsia="zh-CN"/>
        </w:rPr>
        <w:t>招标文件</w:t>
      </w:r>
      <w:r>
        <w:rPr>
          <w:rFonts w:ascii="宋体" w:hAnsi="宋体"/>
          <w:color w:val="auto"/>
          <w:sz w:val="24"/>
          <w:highlight w:val="none"/>
        </w:rPr>
        <w:t>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w:t>
      </w:r>
      <w:r>
        <w:rPr>
          <w:rFonts w:hint="eastAsia" w:ascii="宋体" w:hAnsi="宋体"/>
          <w:color w:val="auto"/>
          <w:sz w:val="24"/>
          <w:highlight w:val="none"/>
          <w:lang w:eastAsia="zh-CN"/>
        </w:rPr>
        <w:t>招标文件</w:t>
      </w:r>
      <w:r>
        <w:rPr>
          <w:rFonts w:ascii="宋体" w:hAnsi="宋体"/>
          <w:color w:val="auto"/>
          <w:sz w:val="24"/>
          <w:highlight w:val="none"/>
        </w:rPr>
        <w:t>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hd w:val="clear"/>
        <w:spacing w:line="560" w:lineRule="exact"/>
        <w:ind w:firstLine="482" w:firstLineChars="200"/>
        <w:outlineLvl w:val="0"/>
        <w:rPr>
          <w:rFonts w:ascii="宋体" w:hAnsi="宋体"/>
          <w:b/>
          <w:color w:val="auto"/>
          <w:sz w:val="24"/>
          <w:highlight w:val="none"/>
        </w:rPr>
      </w:pPr>
      <w:bookmarkStart w:id="455" w:name="_Toc27945"/>
      <w:bookmarkStart w:id="456" w:name="_Toc13673"/>
      <w:bookmarkStart w:id="457" w:name="_Toc9161"/>
      <w:bookmarkStart w:id="458" w:name="_Toc4133"/>
      <w:bookmarkStart w:id="459" w:name="_Toc12412"/>
      <w:r>
        <w:rPr>
          <w:rFonts w:ascii="宋体" w:hAnsi="宋体"/>
          <w:b/>
          <w:color w:val="auto"/>
          <w:sz w:val="24"/>
          <w:highlight w:val="none"/>
        </w:rPr>
        <w:t>2.3 知识产权</w:t>
      </w:r>
      <w:bookmarkEnd w:id="455"/>
      <w:bookmarkEnd w:id="456"/>
      <w:bookmarkEnd w:id="457"/>
      <w:bookmarkEnd w:id="458"/>
      <w:bookmarkEnd w:id="45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hd w:val="clear"/>
        <w:spacing w:line="560" w:lineRule="exact"/>
        <w:ind w:firstLine="482" w:firstLineChars="200"/>
        <w:outlineLvl w:val="0"/>
        <w:rPr>
          <w:rFonts w:ascii="宋体" w:hAnsi="宋体"/>
          <w:b/>
          <w:color w:val="auto"/>
          <w:sz w:val="24"/>
          <w:highlight w:val="none"/>
        </w:rPr>
      </w:pPr>
      <w:bookmarkStart w:id="460" w:name="_Toc26555"/>
      <w:bookmarkStart w:id="461" w:name="_Toc15447"/>
      <w:bookmarkStart w:id="462" w:name="_Toc22011"/>
      <w:bookmarkStart w:id="463" w:name="_Toc31233"/>
      <w:bookmarkStart w:id="464" w:name="_Toc32670"/>
      <w:r>
        <w:rPr>
          <w:rFonts w:ascii="宋体" w:hAnsi="宋体"/>
          <w:b/>
          <w:color w:val="auto"/>
          <w:sz w:val="24"/>
          <w:highlight w:val="none"/>
        </w:rPr>
        <w:t>2.5 结算方式和付款条件</w:t>
      </w:r>
      <w:bookmarkEnd w:id="460"/>
      <w:bookmarkEnd w:id="461"/>
      <w:bookmarkEnd w:id="462"/>
      <w:bookmarkEnd w:id="463"/>
      <w:bookmarkEnd w:id="464"/>
    </w:p>
    <w:p>
      <w:pPr>
        <w:shd w:val="clear"/>
        <w:spacing w:line="560" w:lineRule="exact"/>
        <w:ind w:firstLine="480" w:firstLineChars="200"/>
        <w:rPr>
          <w:rFonts w:hint="default" w:ascii="宋体" w:hAnsi="宋体"/>
          <w:color w:val="auto"/>
          <w:sz w:val="24"/>
          <w:highlight w:val="none"/>
          <w:lang w:val="en-US" w:eastAsia="zh-CN"/>
        </w:rPr>
      </w:pPr>
      <w:r>
        <w:rPr>
          <w:rFonts w:hint="default" w:ascii="宋体" w:hAnsi="宋体"/>
          <w:color w:val="auto"/>
          <w:sz w:val="24"/>
          <w:highlight w:val="none"/>
          <w:lang w:val="en-US" w:eastAsia="zh-CN"/>
        </w:rPr>
        <w:t>（1）在合同生效以及具备实施条件后7个工作日内支付合同金额25%的预付款；</w:t>
      </w:r>
    </w:p>
    <w:p>
      <w:pPr>
        <w:shd w:val="clear"/>
        <w:spacing w:line="560" w:lineRule="exact"/>
        <w:ind w:firstLine="480" w:firstLineChars="200"/>
        <w:rPr>
          <w:rFonts w:hint="eastAsia" w:ascii="宋体" w:hAnsi="宋体"/>
          <w:color w:val="auto"/>
          <w:sz w:val="24"/>
          <w:highlight w:val="none"/>
        </w:rPr>
      </w:pPr>
      <w:r>
        <w:rPr>
          <w:rFonts w:hint="default" w:ascii="宋体" w:hAnsi="宋体"/>
          <w:color w:val="auto"/>
          <w:sz w:val="24"/>
          <w:highlight w:val="none"/>
          <w:lang w:val="en-US" w:eastAsia="zh-CN"/>
        </w:rPr>
        <w:t>（2）服务费用以季度为单位进行支付，</w:t>
      </w:r>
      <w:r>
        <w:rPr>
          <w:rFonts w:hint="eastAsia" w:ascii="宋体" w:hAnsi="宋体"/>
          <w:color w:val="auto"/>
          <w:sz w:val="24"/>
          <w:highlight w:val="none"/>
          <w:lang w:val="en-US" w:eastAsia="zh-CN"/>
        </w:rPr>
        <w:t>甲方</w:t>
      </w:r>
      <w:r>
        <w:rPr>
          <w:rFonts w:hint="default" w:ascii="宋体" w:hAnsi="宋体"/>
          <w:color w:val="auto"/>
          <w:sz w:val="24"/>
          <w:highlight w:val="none"/>
          <w:lang w:val="en-US" w:eastAsia="zh-CN"/>
        </w:rPr>
        <w:t>在收到</w:t>
      </w:r>
      <w:r>
        <w:rPr>
          <w:rFonts w:hint="eastAsia" w:ascii="宋体" w:hAnsi="宋体"/>
          <w:color w:val="auto"/>
          <w:sz w:val="24"/>
          <w:highlight w:val="none"/>
          <w:lang w:val="en-US" w:eastAsia="zh-CN"/>
        </w:rPr>
        <w:t>乙方</w:t>
      </w:r>
      <w:r>
        <w:rPr>
          <w:rFonts w:hint="default" w:ascii="宋体" w:hAnsi="宋体"/>
          <w:color w:val="auto"/>
          <w:sz w:val="24"/>
          <w:highlight w:val="none"/>
          <w:lang w:val="en-US" w:eastAsia="zh-CN"/>
        </w:rPr>
        <w:t>提供的合法发票后七个工作日内支付上个季度的服务费用。（先从预付款中扣除相应金额，待预付款支付完后再另行按实支付。）</w:t>
      </w:r>
    </w:p>
    <w:p>
      <w:pPr>
        <w:shd w:val="clear"/>
        <w:spacing w:line="560" w:lineRule="exact"/>
        <w:ind w:firstLine="482" w:firstLineChars="200"/>
        <w:outlineLvl w:val="0"/>
        <w:rPr>
          <w:rFonts w:ascii="宋体" w:hAnsi="宋体"/>
          <w:b/>
          <w:color w:val="auto"/>
          <w:sz w:val="24"/>
          <w:highlight w:val="none"/>
        </w:rPr>
      </w:pPr>
      <w:bookmarkStart w:id="465" w:name="_Toc13154"/>
      <w:bookmarkStart w:id="466" w:name="_Toc13467"/>
      <w:bookmarkStart w:id="467" w:name="_Toc16163"/>
      <w:bookmarkStart w:id="468" w:name="_Toc30507"/>
      <w:bookmarkStart w:id="469" w:name="_Toc18990"/>
      <w:r>
        <w:rPr>
          <w:rFonts w:ascii="宋体" w:hAnsi="宋体"/>
          <w:b/>
          <w:color w:val="auto"/>
          <w:sz w:val="24"/>
          <w:highlight w:val="none"/>
        </w:rPr>
        <w:t>2.6 技术资料和保密义务</w:t>
      </w:r>
      <w:bookmarkEnd w:id="465"/>
      <w:bookmarkEnd w:id="466"/>
      <w:bookmarkEnd w:id="467"/>
      <w:bookmarkEnd w:id="468"/>
      <w:bookmarkEnd w:id="46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宋体" w:hAnsi="宋体"/>
          <w:b/>
          <w:color w:val="auto"/>
          <w:sz w:val="24"/>
          <w:highlight w:val="none"/>
        </w:rPr>
      </w:pPr>
      <w:bookmarkStart w:id="470"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70"/>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宋体" w:hAnsi="宋体"/>
          <w:b/>
          <w:color w:val="auto"/>
          <w:sz w:val="24"/>
          <w:highlight w:val="none"/>
        </w:rPr>
      </w:pPr>
      <w:bookmarkStart w:id="471"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71"/>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hd w:val="clear"/>
        <w:spacing w:line="560" w:lineRule="exact"/>
        <w:ind w:firstLine="482" w:firstLineChars="200"/>
        <w:outlineLvl w:val="0"/>
        <w:rPr>
          <w:rFonts w:ascii="宋体" w:hAnsi="宋体"/>
          <w:b/>
          <w:color w:val="auto"/>
          <w:sz w:val="24"/>
          <w:highlight w:val="none"/>
        </w:rPr>
      </w:pPr>
      <w:bookmarkStart w:id="472"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72"/>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473" w:name="_Toc23368"/>
      <w:bookmarkStart w:id="474" w:name="_Toc42"/>
      <w:bookmarkStart w:id="475" w:name="_Toc21830"/>
      <w:bookmarkStart w:id="476" w:name="_Toc26689"/>
      <w:bookmarkStart w:id="477" w:name="_Toc10663"/>
      <w:r>
        <w:rPr>
          <w:rFonts w:ascii="宋体" w:hAnsi="宋体"/>
          <w:b/>
          <w:color w:val="auto"/>
          <w:sz w:val="24"/>
          <w:highlight w:val="none"/>
        </w:rPr>
        <w:t>2.10 合同转让和分包</w:t>
      </w:r>
      <w:bookmarkEnd w:id="473"/>
      <w:bookmarkEnd w:id="474"/>
      <w:bookmarkEnd w:id="475"/>
      <w:bookmarkEnd w:id="476"/>
      <w:bookmarkEnd w:id="477"/>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hd w:val="clear"/>
        <w:spacing w:line="560" w:lineRule="exact"/>
        <w:ind w:firstLine="482" w:firstLineChars="200"/>
        <w:outlineLvl w:val="0"/>
        <w:rPr>
          <w:rFonts w:ascii="宋体" w:hAnsi="宋体"/>
          <w:b/>
          <w:color w:val="auto"/>
          <w:sz w:val="24"/>
          <w:highlight w:val="none"/>
        </w:rPr>
      </w:pPr>
      <w:bookmarkStart w:id="478" w:name="_Toc25571"/>
      <w:bookmarkStart w:id="479" w:name="_Toc26633"/>
      <w:bookmarkStart w:id="480" w:name="_Toc14371"/>
      <w:bookmarkStart w:id="481" w:name="_Toc32494"/>
      <w:bookmarkStart w:id="482" w:name="_Toc4720"/>
      <w:r>
        <w:rPr>
          <w:rFonts w:ascii="宋体" w:hAnsi="宋体"/>
          <w:b/>
          <w:color w:val="auto"/>
          <w:sz w:val="24"/>
          <w:highlight w:val="none"/>
        </w:rPr>
        <w:t>2.11 不可抗力</w:t>
      </w:r>
      <w:bookmarkEnd w:id="478"/>
      <w:bookmarkEnd w:id="479"/>
      <w:bookmarkEnd w:id="480"/>
      <w:bookmarkEnd w:id="481"/>
      <w:bookmarkEnd w:id="482"/>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不可抗力致使合同有变更必要的，双方当事人应在约定时间内以书面形式变更合同</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应在约定时间内以书面形式通知</w:t>
      </w:r>
      <w:r>
        <w:rPr>
          <w:rFonts w:hint="eastAsia" w:ascii="宋体" w:hAnsi="宋体"/>
          <w:color w:val="auto"/>
          <w:sz w:val="24"/>
          <w:highlight w:val="none"/>
        </w:rPr>
        <w:t>对</w:t>
      </w:r>
      <w:r>
        <w:rPr>
          <w:rFonts w:ascii="宋体" w:hAnsi="宋体"/>
          <w:color w:val="auto"/>
          <w:sz w:val="24"/>
          <w:highlight w:val="none"/>
        </w:rPr>
        <w:t>方当事人，并在约定时间内，将有关部门出具的证明文件送达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83" w:name="_Toc24465"/>
      <w:bookmarkStart w:id="484" w:name="_Toc23854"/>
      <w:bookmarkStart w:id="485" w:name="_Toc14115"/>
      <w:bookmarkStart w:id="486" w:name="_Toc25783"/>
      <w:bookmarkStart w:id="487" w:name="_Toc3638"/>
      <w:r>
        <w:rPr>
          <w:rFonts w:ascii="宋体" w:hAnsi="宋体"/>
          <w:b/>
          <w:color w:val="auto"/>
          <w:sz w:val="24"/>
          <w:highlight w:val="none"/>
        </w:rPr>
        <w:t>2.12 税费</w:t>
      </w:r>
      <w:bookmarkEnd w:id="483"/>
      <w:bookmarkEnd w:id="484"/>
      <w:bookmarkEnd w:id="485"/>
      <w:bookmarkEnd w:id="486"/>
      <w:bookmarkEnd w:id="487"/>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hd w:val="clear"/>
        <w:spacing w:line="560" w:lineRule="exact"/>
        <w:ind w:firstLine="482" w:firstLineChars="200"/>
        <w:outlineLvl w:val="0"/>
        <w:rPr>
          <w:rFonts w:ascii="宋体" w:hAnsi="宋体"/>
          <w:b/>
          <w:color w:val="auto"/>
          <w:sz w:val="24"/>
          <w:highlight w:val="none"/>
        </w:rPr>
      </w:pPr>
      <w:bookmarkStart w:id="488" w:name="_Toc7315"/>
      <w:bookmarkStart w:id="489" w:name="_Toc25525"/>
      <w:bookmarkStart w:id="490" w:name="_Toc26883"/>
      <w:bookmarkStart w:id="491" w:name="_Toc30105"/>
      <w:bookmarkStart w:id="492" w:name="_Toc14814"/>
      <w:r>
        <w:rPr>
          <w:rFonts w:ascii="宋体" w:hAnsi="宋体"/>
          <w:b/>
          <w:color w:val="auto"/>
          <w:sz w:val="24"/>
          <w:highlight w:val="none"/>
        </w:rPr>
        <w:t>2.13 乙方破产</w:t>
      </w:r>
      <w:bookmarkEnd w:id="488"/>
      <w:bookmarkEnd w:id="489"/>
      <w:bookmarkEnd w:id="490"/>
      <w:bookmarkEnd w:id="491"/>
      <w:bookmarkEnd w:id="492"/>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93" w:name="_Toc1123"/>
      <w:bookmarkStart w:id="494" w:name="_Toc2016"/>
      <w:bookmarkStart w:id="495" w:name="_Toc23323"/>
      <w:r>
        <w:rPr>
          <w:rFonts w:ascii="宋体" w:hAnsi="宋体"/>
          <w:b/>
          <w:color w:val="auto"/>
          <w:sz w:val="24"/>
          <w:highlight w:val="none"/>
        </w:rPr>
        <w:t>2.14 合同中止、终止</w:t>
      </w:r>
      <w:bookmarkEnd w:id="493"/>
      <w:bookmarkEnd w:id="494"/>
      <w:bookmarkEnd w:id="495"/>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496" w:name="_Toc1969"/>
      <w:bookmarkStart w:id="497" w:name="_Toc17363"/>
      <w:bookmarkStart w:id="498" w:name="_Toc14525"/>
      <w:r>
        <w:rPr>
          <w:rFonts w:ascii="宋体" w:hAnsi="宋体"/>
          <w:b/>
          <w:color w:val="auto"/>
          <w:sz w:val="24"/>
          <w:highlight w:val="none"/>
        </w:rPr>
        <w:t>2.15 检验和验收</w:t>
      </w:r>
      <w:bookmarkEnd w:id="496"/>
      <w:bookmarkEnd w:id="497"/>
      <w:bookmarkEnd w:id="498"/>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color w:val="auto"/>
          <w:sz w:val="24"/>
          <w:highlight w:val="none"/>
        </w:rPr>
        <w:t>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w:t>
      </w:r>
      <w:r>
        <w:rPr>
          <w:rFonts w:ascii="宋体" w:hAnsi="宋体"/>
          <w:color w:val="auto"/>
          <w:sz w:val="24"/>
          <w:highlight w:val="none"/>
        </w:rPr>
        <w:t>进行定期验收</w:t>
      </w:r>
      <w:r>
        <w:rPr>
          <w:rFonts w:hint="eastAsia" w:ascii="宋体" w:hAnsi="宋体"/>
          <w:color w:val="auto"/>
          <w:sz w:val="24"/>
          <w:highlight w:val="none"/>
        </w:rPr>
        <w:t>；</w:t>
      </w:r>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hd w:val="clear"/>
        <w:spacing w:line="560" w:lineRule="exact"/>
        <w:ind w:firstLine="482" w:firstLineChars="200"/>
        <w:outlineLvl w:val="0"/>
        <w:rPr>
          <w:rFonts w:ascii="宋体" w:hAnsi="宋体"/>
          <w:b/>
          <w:color w:val="auto"/>
          <w:sz w:val="24"/>
          <w:highlight w:val="none"/>
        </w:rPr>
      </w:pPr>
      <w:bookmarkStart w:id="499" w:name="_Toc25198"/>
      <w:bookmarkStart w:id="500" w:name="_Toc12666"/>
      <w:bookmarkStart w:id="501" w:name="_Toc2308"/>
      <w:bookmarkStart w:id="502" w:name="_Toc9808"/>
      <w:bookmarkStart w:id="503" w:name="_Toc31892"/>
      <w:r>
        <w:rPr>
          <w:rFonts w:ascii="宋体" w:hAnsi="宋体"/>
          <w:b/>
          <w:color w:val="auto"/>
          <w:sz w:val="24"/>
          <w:highlight w:val="none"/>
        </w:rPr>
        <w:t>2.16 通知和送达</w:t>
      </w:r>
      <w:bookmarkEnd w:id="499"/>
      <w:bookmarkEnd w:id="500"/>
      <w:bookmarkEnd w:id="501"/>
      <w:bookmarkEnd w:id="502"/>
      <w:bookmarkEnd w:id="503"/>
    </w:p>
    <w:p>
      <w:pPr>
        <w:shd w:val="clear"/>
        <w:spacing w:line="560" w:lineRule="exact"/>
        <w:ind w:firstLine="480" w:firstLineChars="200"/>
        <w:rPr>
          <w:rFonts w:ascii="宋体" w:hAnsi="宋体"/>
          <w:color w:val="auto"/>
          <w:sz w:val="24"/>
          <w:highlight w:val="none"/>
        </w:rPr>
      </w:pPr>
      <w:bookmarkStart w:id="504" w:name="_Toc27674"/>
      <w:bookmarkStart w:id="505"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4"/>
      <w:bookmarkEnd w:id="505"/>
    </w:p>
    <w:p>
      <w:pPr>
        <w:shd w:val="clear"/>
        <w:spacing w:line="560" w:lineRule="exact"/>
        <w:ind w:firstLine="482" w:firstLineChars="200"/>
        <w:outlineLvl w:val="0"/>
        <w:rPr>
          <w:rFonts w:ascii="宋体" w:hAnsi="宋体"/>
          <w:b/>
          <w:color w:val="auto"/>
          <w:sz w:val="24"/>
          <w:highlight w:val="none"/>
        </w:rPr>
      </w:pPr>
      <w:bookmarkStart w:id="506" w:name="_Toc12254"/>
      <w:bookmarkStart w:id="507" w:name="_Toc5063"/>
      <w:bookmarkStart w:id="508" w:name="_Toc27644"/>
      <w:bookmarkStart w:id="509" w:name="_Toc28906"/>
      <w:bookmarkStart w:id="510" w:name="_Toc20808"/>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6"/>
      <w:bookmarkEnd w:id="507"/>
      <w:bookmarkEnd w:id="508"/>
      <w:bookmarkEnd w:id="509"/>
      <w:bookmarkEnd w:id="510"/>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hd w:val="clear"/>
        <w:spacing w:line="560" w:lineRule="exact"/>
        <w:ind w:firstLine="482" w:firstLineChars="200"/>
        <w:outlineLvl w:val="0"/>
        <w:rPr>
          <w:rFonts w:hint="eastAsia" w:ascii="宋体" w:hAnsi="宋体" w:cs="宋体"/>
          <w:b/>
          <w:color w:val="auto"/>
          <w:sz w:val="24"/>
          <w:highlight w:val="none"/>
        </w:rPr>
      </w:pPr>
      <w:bookmarkStart w:id="511" w:name="_Toc30599"/>
      <w:bookmarkStart w:id="512" w:name="_Toc4355"/>
      <w:bookmarkStart w:id="513" w:name="_Toc18540"/>
    </w:p>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2.18 计量单位</w:t>
      </w:r>
      <w:bookmarkEnd w:id="511"/>
      <w:bookmarkEnd w:id="512"/>
      <w:bookmarkEnd w:id="513"/>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合同份数</w:t>
      </w:r>
      <w:r>
        <w:rPr>
          <w:rFonts w:hint="eastAsia" w:ascii="宋体" w:hAnsi="宋体"/>
          <w:color w:val="auto"/>
          <w:sz w:val="24"/>
          <w:highlight w:val="none"/>
          <w:lang w:val="en-US" w:eastAsia="zh-CN"/>
        </w:rPr>
        <w:t>正本</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份，副本</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份</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20" w:firstLineChars="200"/>
        <w:textAlignment w:val="auto"/>
        <w:outlineLvl w:val="9"/>
        <w:rPr>
          <w:rFonts w:hint="eastAsia" w:ascii="宋体" w:hAnsi="宋体" w:cs="宋体"/>
          <w:b/>
          <w:color w:val="auto"/>
          <w:sz w:val="36"/>
          <w:szCs w:val="20"/>
          <w:highlight w:val="none"/>
        </w:rPr>
      </w:pPr>
      <w:r>
        <w:rPr>
          <w:rFonts w:hint="eastAsia" w:ascii="宋体" w:hAnsi="宋体" w:cs="宋体"/>
          <w:i w:val="0"/>
          <w:iCs w:val="0"/>
          <w:color w:val="auto"/>
          <w:kern w:val="0"/>
          <w:highlight w:val="none"/>
        </w:rPr>
        <w:br w:type="page"/>
      </w:r>
      <w:r>
        <w:rPr>
          <w:rFonts w:hint="eastAsia" w:ascii="宋体" w:hAnsi="宋体" w:cs="宋体"/>
          <w:color w:val="auto"/>
          <w:sz w:val="24"/>
          <w:highlight w:val="none"/>
        </w:rPr>
        <w:br w:type="textWrapping"/>
      </w:r>
      <w:bookmarkStart w:id="514" w:name="_Toc22993"/>
    </w:p>
    <w:p>
      <w:pPr>
        <w:kinsoku/>
        <w:wordWrap/>
        <w:overflowPunct/>
        <w:topLinePunct w:val="0"/>
        <w:bidi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03"/>
      <w:r>
        <w:rPr>
          <w:rFonts w:hint="eastAsia" w:ascii="宋体" w:hAnsi="宋体" w:cs="宋体"/>
          <w:b/>
          <w:color w:val="auto"/>
          <w:sz w:val="36"/>
          <w:szCs w:val="20"/>
          <w:highlight w:val="none"/>
        </w:rPr>
        <w:t xml:space="preserve"> </w:t>
      </w:r>
      <w:bookmarkEnd w:id="404"/>
      <w:r>
        <w:rPr>
          <w:rFonts w:hint="eastAsia" w:ascii="宋体" w:hAnsi="宋体" w:cs="宋体"/>
          <w:b/>
          <w:color w:val="auto"/>
          <w:sz w:val="36"/>
          <w:szCs w:val="20"/>
          <w:highlight w:val="none"/>
        </w:rPr>
        <w:t>应提交的有关格式范例</w:t>
      </w:r>
      <w:bookmarkEnd w:id="514"/>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highlight w:val="none"/>
          <w:lang w:eastAsia="zh-CN"/>
        </w:rPr>
        <w:t>，</w:t>
      </w:r>
      <w:r>
        <w:rPr>
          <w:rFonts w:hint="eastAsia" w:ascii="宋体" w:hAnsi="宋体" w:cs="宋体"/>
          <w:color w:val="auto"/>
          <w:sz w:val="24"/>
          <w:highlight w:val="none"/>
        </w:rPr>
        <w:t>未在中国裁判文书网有行贿犯罪相关记录。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（三）不存在以下情况：</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color w:val="auto"/>
          <w:sz w:val="24"/>
          <w:highlight w:val="none"/>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color w:val="auto"/>
          <w:kern w:val="0"/>
          <w:sz w:val="24"/>
          <w:highlight w:val="none"/>
          <w:lang w:val="zh-CN"/>
        </w:rPr>
      </w:pPr>
    </w:p>
    <w:p>
      <w:pPr>
        <w:kinsoku/>
        <w:wordWrap/>
        <w:overflowPunct/>
        <w:topLinePunct w:val="0"/>
        <w:bidi w:val="0"/>
        <w:snapToGrid w:val="0"/>
        <w:spacing w:line="360" w:lineRule="auto"/>
        <w:ind w:firstLine="5520" w:firstLineChars="2300"/>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kinsoku/>
        <w:wordWrap/>
        <w:overflowPunct/>
        <w:topLinePunct w:val="0"/>
        <w:bidi w:val="0"/>
        <w:spacing w:line="360" w:lineRule="auto"/>
        <w:ind w:firstLine="480"/>
        <w:jc w:val="left"/>
        <w:outlineLvl w:val="9"/>
        <w:rPr>
          <w:rFonts w:ascii="宋体" w:hAnsi="宋体" w:cs="宋体"/>
          <w:color w:val="auto"/>
          <w:sz w:val="24"/>
          <w:highlight w:val="none"/>
        </w:rPr>
      </w:pPr>
    </w:p>
    <w:p>
      <w:pPr>
        <w:widowControl/>
        <w:kinsoku/>
        <w:wordWrap/>
        <w:overflowPunct/>
        <w:topLinePunct w:val="0"/>
        <w:bidi w:val="0"/>
        <w:spacing w:line="360" w:lineRule="auto"/>
        <w:ind w:firstLine="472" w:firstLineChars="196"/>
        <w:jc w:val="left"/>
        <w:outlineLvl w:val="9"/>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color w:val="auto"/>
          <w:sz w:val="24"/>
          <w:highlight w:val="none"/>
        </w:rPr>
      </w:pPr>
      <w:r>
        <w:rPr>
          <w:rFonts w:hint="eastAsia" w:ascii="宋体" w:hAnsi="宋体" w:cs="宋体"/>
          <w:b/>
          <w:color w:val="auto"/>
          <w:sz w:val="24"/>
          <w:highlight w:val="none"/>
        </w:rPr>
        <w:t xml:space="preserve">    </w:t>
      </w:r>
    </w:p>
    <w:p>
      <w:pPr>
        <w:kinsoku/>
        <w:wordWrap/>
        <w:overflowPunct/>
        <w:topLinePunct w:val="0"/>
        <w:bidi w:val="0"/>
        <w:spacing w:line="360" w:lineRule="auto"/>
        <w:ind w:firstLine="482" w:firstLineChars="200"/>
        <w:outlineLvl w:val="9"/>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color w:val="auto"/>
          <w:kern w:val="0"/>
          <w:sz w:val="32"/>
          <w:szCs w:val="32"/>
          <w:highlight w:val="none"/>
        </w:rPr>
      </w:pPr>
    </w:p>
    <w:p>
      <w:pPr>
        <w:widowControl/>
        <w:kinsoku/>
        <w:wordWrap/>
        <w:overflowPunct/>
        <w:topLinePunct w:val="0"/>
        <w:bidi w:val="0"/>
        <w:spacing w:line="360" w:lineRule="auto"/>
        <w:ind w:left="15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kinsoku/>
        <w:wordWrap/>
        <w:overflowPunct/>
        <w:topLinePunct w:val="0"/>
        <w:bidi w:val="0"/>
        <w:spacing w:line="360" w:lineRule="auto"/>
        <w:jc w:val="center"/>
        <w:outlineLvl w:val="9"/>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kinsoku/>
        <w:wordWrap/>
        <w:overflowPunct/>
        <w:topLinePunct w:val="0"/>
        <w:bidi w:val="0"/>
        <w:outlineLvl w:val="9"/>
        <w:rPr>
          <w:rFonts w:ascii="宋体" w:hAnsi="宋体" w:cs="宋体"/>
          <w:color w:val="auto"/>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kinsoku/>
        <w:wordWrap/>
        <w:overflowPunct/>
        <w:topLinePunct w:val="0"/>
        <w:bidi w:val="0"/>
        <w:spacing w:line="360" w:lineRule="auto"/>
        <w:jc w:val="center"/>
        <w:outlineLvl w:val="9"/>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kinsoku/>
        <w:wordWrap/>
        <w:overflowPunct/>
        <w:topLinePunct w:val="0"/>
        <w:bidi w:val="0"/>
        <w:snapToGrid w:val="0"/>
        <w:spacing w:line="360" w:lineRule="auto"/>
        <w:ind w:firstLine="480" w:firstLineChars="200"/>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outlineLvl w:val="9"/>
        <w:rPr>
          <w:color w:val="auto"/>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snapToGrid w:val="0"/>
        <w:spacing w:line="360" w:lineRule="auto"/>
        <w:ind w:firstLine="3855" w:firstLineChars="1200"/>
        <w:outlineLvl w:val="9"/>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4.4</w:t>
      </w:r>
      <w:r>
        <w:rPr>
          <w:rFonts w:hint="eastAsia" w:cs="宋体" w:asciiTheme="minorEastAsia" w:hAnsiTheme="minorEastAsia" w:eastAsiaTheme="minorEastAsia"/>
          <w:color w:val="auto"/>
          <w:sz w:val="24"/>
          <w:highlight w:val="none"/>
          <w:lang w:val="en-US" w:eastAsia="zh-CN"/>
        </w:rPr>
        <w:t>按照招标文件的规定，在中标后向采购代理机构一次性支付招标代理服务费。</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cs="宋体"/>
          <w:color w:val="auto"/>
          <w:sz w:val="24"/>
          <w:highlight w:val="none"/>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hint="eastAsia" w:ascii="宋体" w:hAnsi="宋体" w:cs="宋体"/>
          <w:color w:val="auto"/>
          <w:sz w:val="24"/>
          <w:highlight w:val="none"/>
        </w:rPr>
        <w:t>注：按本格式和要求提供。</w:t>
      </w:r>
      <w:r>
        <w:rPr>
          <w:rFonts w:ascii="宋体" w:hAnsi="宋体" w:cs="宋体"/>
          <w:b/>
          <w:color w:val="auto"/>
          <w:kern w:val="0"/>
          <w:sz w:val="32"/>
          <w:szCs w:val="32"/>
          <w:highlight w:val="none"/>
        </w:rPr>
        <w:br w:type="page"/>
      </w:r>
    </w:p>
    <w:p>
      <w:pPr>
        <w:kinsoku/>
        <w:wordWrap/>
        <w:overflowPunct/>
        <w:topLinePunct w:val="0"/>
        <w:bidi w:val="0"/>
        <w:jc w:val="center"/>
        <w:outlineLvl w:val="9"/>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ind w:firstLine="5040" w:firstLineChars="21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color w:val="auto"/>
          <w:highlight w:val="none"/>
        </w:rPr>
      </w:pP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color w:val="auto"/>
          <w:kern w:val="0"/>
          <w:sz w:val="32"/>
          <w:szCs w:val="32"/>
          <w:highlight w:val="none"/>
          <w:lang w:val="zh-CN"/>
        </w:rPr>
      </w:pPr>
    </w:p>
    <w:p>
      <w:pPr>
        <w:kinsoku/>
        <w:wordWrap/>
        <w:overflowPunct/>
        <w:topLinePunct w:val="0"/>
        <w:autoSpaceDE w:val="0"/>
        <w:autoSpaceDN w:val="0"/>
        <w:bidi w:val="0"/>
        <w:spacing w:line="360" w:lineRule="auto"/>
        <w:jc w:val="center"/>
        <w:outlineLvl w:val="9"/>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w:t>
      </w:r>
      <w:r>
        <w:rPr>
          <w:rFonts w:hint="eastAsia" w:ascii="宋体" w:hAnsi="宋体" w:cs="宋体"/>
          <w:b/>
          <w:color w:val="auto"/>
          <w:sz w:val="30"/>
          <w:szCs w:val="30"/>
          <w:highlight w:val="none"/>
          <w:lang w:eastAsia="zh-CN"/>
        </w:rPr>
        <w:t>供应商</w:t>
      </w:r>
      <w:r>
        <w:rPr>
          <w:rFonts w:hint="eastAsia" w:ascii="宋体" w:hAnsi="宋体" w:cs="宋体"/>
          <w:b/>
          <w:color w:val="auto"/>
          <w:sz w:val="30"/>
          <w:szCs w:val="30"/>
          <w:highlight w:val="none"/>
        </w:rPr>
        <w:t>参加投标）</w:t>
      </w:r>
    </w:p>
    <w:p>
      <w:pPr>
        <w:pStyle w:val="150"/>
        <w:kinsoku/>
        <w:wordWrap/>
        <w:overflowPunct/>
        <w:topLinePunct w:val="0"/>
        <w:bidi w:val="0"/>
        <w:spacing w:line="360" w:lineRule="auto"/>
        <w:outlineLvl w:val="9"/>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sz w:val="24"/>
                <w:highlight w:val="none"/>
              </w:rPr>
            </w:pPr>
            <w:r>
              <w:rPr>
                <w:rFonts w:hint="eastAsia" w:hAnsi="宋体" w:cs="宋体"/>
                <w:bCs/>
                <w:color w:val="auto"/>
                <w:sz w:val="24"/>
                <w:highlight w:val="none"/>
              </w:rPr>
              <w:t>正面：                                 反面：</w:t>
            </w:r>
          </w:p>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sz w:val="24"/>
                <w:highlight w:val="none"/>
              </w:rPr>
            </w:pPr>
          </w:p>
        </w:tc>
      </w:tr>
    </w:tbl>
    <w:p>
      <w:pPr>
        <w:kinsoku/>
        <w:wordWrap/>
        <w:overflowPunct/>
        <w:topLinePunct w:val="0"/>
        <w:bidi w:val="0"/>
        <w:snapToGrid w:val="0"/>
        <w:spacing w:line="360" w:lineRule="auto"/>
        <w:ind w:firstLine="576"/>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kinsoku/>
        <w:wordWrap/>
        <w:overflowPunct/>
        <w:topLinePunct w:val="0"/>
        <w:bidi w:val="0"/>
        <w:snapToGrid w:val="0"/>
        <w:spacing w:line="360" w:lineRule="auto"/>
        <w:ind w:firstLine="576"/>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kinsoku/>
        <w:wordWrap/>
        <w:overflowPunct/>
        <w:topLinePunct w:val="0"/>
        <w:bidi w:val="0"/>
        <w:spacing w:line="360" w:lineRule="auto"/>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outlineLvl w:val="9"/>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color w:val="auto"/>
          <w:sz w:val="24"/>
          <w:highlight w:val="none"/>
        </w:rPr>
      </w:pPr>
      <w:bookmarkStart w:id="515"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bookmarkEnd w:id="515"/>
    <w:p>
      <w:pPr>
        <w:kinsoku/>
        <w:wordWrap/>
        <w:overflowPunct/>
        <w:topLinePunct w:val="0"/>
        <w:bidi w:val="0"/>
        <w:snapToGrid w:val="0"/>
        <w:spacing w:line="360" w:lineRule="auto"/>
        <w:outlineLvl w:val="9"/>
        <w:rPr>
          <w:rFonts w:ascii="宋体" w:hAnsi="宋体" w:cs="宋体"/>
          <w:color w:val="auto"/>
          <w:kern w:val="0"/>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outlineLvl w:val="9"/>
        <w:rPr>
          <w:color w:val="auto"/>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kinsoku/>
        <w:wordWrap/>
        <w:overflowPunct/>
        <w:topLinePunct w:val="0"/>
        <w:bidi w:val="0"/>
        <w:jc w:val="center"/>
        <w:outlineLvl w:val="9"/>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0"/>
        <w:gridCol w:w="310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4440"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实质性要求</w:t>
            </w:r>
          </w:p>
        </w:tc>
        <w:tc>
          <w:tcPr>
            <w:tcW w:w="3102"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1</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2</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3</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kern w:val="0"/>
                <w:sz w:val="24"/>
                <w:highlight w:val="none"/>
              </w:rPr>
              <w:t>招标文件其它实质性要求相应的材料（“</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jc w:val="center"/>
        <w:outlineLvl w:val="9"/>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kinsoku/>
        <w:wordWrap/>
        <w:overflowPunct/>
        <w:topLinePunct w:val="0"/>
        <w:bidi w:val="0"/>
        <w:snapToGrid w:val="0"/>
        <w:spacing w:line="360" w:lineRule="auto"/>
        <w:jc w:val="left"/>
        <w:outlineLvl w:val="9"/>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bl>
    <w:p>
      <w:pPr>
        <w:kinsoku/>
        <w:wordWrap/>
        <w:overflowPunct/>
        <w:topLinePunct w:val="0"/>
        <w:bidi w:val="0"/>
        <w:jc w:val="left"/>
        <w:outlineLvl w:val="9"/>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保证：除商务技术偏离表列出的偏离外，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响应招标文件的全部要求</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widowControl/>
        <w:kinsoku/>
        <w:wordWrap/>
        <w:overflowPunct/>
        <w:topLinePunct w:val="0"/>
        <w:bidi w:val="0"/>
        <w:adjustRightInd/>
        <w:jc w:val="left"/>
        <w:outlineLvl w:val="9"/>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kinsoku/>
        <w:wordWrap/>
        <w:overflowPunct/>
        <w:topLinePunct w:val="0"/>
        <w:bidi w:val="0"/>
        <w:ind w:firstLine="1911" w:firstLineChars="595"/>
        <w:outlineLvl w:val="9"/>
        <w:rPr>
          <w:rFonts w:ascii="宋体" w:hAnsi="宋体" w:cs="宋体"/>
          <w:b/>
          <w:color w:val="auto"/>
          <w:kern w:val="0"/>
          <w:sz w:val="32"/>
          <w:szCs w:val="32"/>
          <w:highlight w:val="none"/>
        </w:rPr>
      </w:pPr>
      <w:r>
        <w:rPr>
          <w:rFonts w:hint="eastAsia" w:ascii="宋体" w:hAnsi="宋体" w:cs="宋体"/>
          <w:b/>
          <w:bCs/>
          <w:color w:val="auto"/>
          <w:sz w:val="32"/>
          <w:szCs w:val="32"/>
          <w:highlight w:val="none"/>
          <w:lang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kinsoku/>
        <w:wordWrap/>
        <w:overflowPunct/>
        <w:topLinePunct w:val="0"/>
        <w:autoSpaceDE w:val="0"/>
        <w:autoSpaceDN w:val="0"/>
        <w:bidi w:val="0"/>
        <w:spacing w:line="360" w:lineRule="auto"/>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kinsoku/>
        <w:wordWrap/>
        <w:overflowPunct/>
        <w:topLinePunct w:val="0"/>
        <w:bidi w:val="0"/>
        <w:spacing w:line="360" w:lineRule="auto"/>
        <w:ind w:left="4620" w:leftChars="2200"/>
        <w:outlineLvl w:val="9"/>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kinsoku/>
        <w:wordWrap/>
        <w:overflowPunct/>
        <w:topLinePunct w:val="0"/>
        <w:bidi w:val="0"/>
        <w:spacing w:line="360" w:lineRule="auto"/>
        <w:jc w:val="center"/>
        <w:outlineLvl w:val="9"/>
        <w:rPr>
          <w:rFonts w:ascii="宋体" w:hAnsi="宋体" w:cs="宋体"/>
          <w:b/>
          <w:bCs/>
          <w:color w:val="auto"/>
          <w:sz w:val="24"/>
          <w:highlight w:val="none"/>
        </w:rPr>
      </w:pPr>
    </w:p>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spacing w:line="360" w:lineRule="auto"/>
        <w:jc w:val="center"/>
        <w:outlineLvl w:val="9"/>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（1）开标一览表（报价表）………………………………………………………（页码）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（2）中小企业声明函………………………………………………………………（页码）</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pPr>
      <w:bookmarkStart w:id="516" w:name="_Toc26425"/>
      <w:bookmarkStart w:id="517" w:name="_Toc18859"/>
      <w:r>
        <w:rPr>
          <w:rFonts w:hint="eastAsia" w:ascii="宋体" w:hAnsi="宋体" w:eastAsia="宋体" w:cs="宋体"/>
          <w:color w:val="auto"/>
          <w:kern w:val="2"/>
          <w:sz w:val="32"/>
          <w:szCs w:val="32"/>
          <w:highlight w:val="none"/>
        </w:rPr>
        <w:t>一、开标一览表（报价表）</w:t>
      </w:r>
      <w:bookmarkEnd w:id="516"/>
      <w:bookmarkEnd w:id="517"/>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kinsoku/>
        <w:wordWrap/>
        <w:overflowPunct/>
        <w:topLinePunct w:val="0"/>
        <w:bidi w:val="0"/>
        <w:spacing w:line="360" w:lineRule="auto"/>
        <w:jc w:val="center"/>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95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2"/>
        <w:gridCol w:w="984"/>
        <w:gridCol w:w="1746"/>
        <w:gridCol w:w="3225"/>
        <w:gridCol w:w="24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szCs w:val="21"/>
                <w:highlight w:val="none"/>
                <w:lang w:val="en-US" w:eastAsia="zh-CN"/>
              </w:rPr>
            </w:pPr>
            <w:r>
              <w:rPr>
                <w:rFonts w:hint="eastAsia" w:ascii="宋体" w:hAnsi="宋体" w:cs="宋体"/>
                <w:color w:val="auto"/>
                <w:highlight w:val="none"/>
                <w:lang w:val="en-US" w:eastAsia="zh-CN"/>
              </w:rPr>
              <w:t>标项号</w:t>
            </w:r>
          </w:p>
        </w:tc>
        <w:tc>
          <w:tcPr>
            <w:tcW w:w="27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szCs w:val="21"/>
                <w:highlight w:val="none"/>
                <w:lang w:val="en-US" w:eastAsia="zh-CN"/>
              </w:rPr>
            </w:pPr>
            <w:r>
              <w:rPr>
                <w:rFonts w:hint="eastAsia" w:ascii="宋体" w:hAnsi="宋体" w:cs="宋体"/>
                <w:color w:val="auto"/>
                <w:highlight w:val="none"/>
                <w:lang w:val="en-US" w:eastAsia="zh-CN"/>
              </w:rPr>
              <w:t>服务内容</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eastAsia="zh-CN"/>
              </w:rPr>
              <w:t>合同履约期限</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年度报价（元/年）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6" w:hRule="atLeast"/>
          <w:jc w:val="center"/>
        </w:trPr>
        <w:tc>
          <w:tcPr>
            <w:tcW w:w="1102" w:type="dxa"/>
            <w:tcBorders>
              <w:top w:val="single" w:color="auto" w:sz="4" w:space="0"/>
              <w:left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szCs w:val="21"/>
                <w:highlight w:val="none"/>
              </w:rPr>
            </w:pPr>
          </w:p>
        </w:tc>
        <w:tc>
          <w:tcPr>
            <w:tcW w:w="27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Times New Roman" w:hAnsi="Times New Roman" w:eastAsia="宋体" w:cs="Times New Roman"/>
                <w:color w:val="auto"/>
                <w:highlight w:val="none"/>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kern w:val="2"/>
                <w:sz w:val="21"/>
                <w:szCs w:val="21"/>
                <w:highlight w:val="none"/>
                <w:lang w:val="en-US" w:eastAsia="zh-CN" w:bidi="ar-SA"/>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086" w:type="dxa"/>
            <w:gridSpan w:val="2"/>
            <w:tcBorders>
              <w:top w:val="single" w:color="auto" w:sz="4" w:space="0"/>
              <w:left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宋体"/>
                <w:color w:val="auto"/>
                <w:highlight w:val="none"/>
              </w:rPr>
            </w:pPr>
            <w:r>
              <w:rPr>
                <w:rFonts w:hint="eastAsia" w:ascii="宋体" w:hAnsi="宋体" w:cs="宋体"/>
                <w:color w:val="auto"/>
                <w:highlight w:val="none"/>
                <w:lang w:val="en-US" w:eastAsia="zh-CN"/>
              </w:rPr>
              <w:t>三年</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总价</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元</w:t>
            </w:r>
            <w:r>
              <w:rPr>
                <w:rFonts w:hint="eastAsia" w:ascii="宋体" w:hAnsi="宋体" w:eastAsia="宋体" w:cs="宋体"/>
                <w:color w:val="auto"/>
                <w:highlight w:val="none"/>
                <w:lang w:eastAsia="zh-CN"/>
              </w:rPr>
              <w:t>）</w:t>
            </w:r>
          </w:p>
        </w:tc>
        <w:tc>
          <w:tcPr>
            <w:tcW w:w="74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left"/>
              <w:rPr>
                <w:rFonts w:hint="default" w:ascii="宋体" w:hAnsi="宋体" w:eastAsia="宋体" w:cs="Times New Roman"/>
                <w:color w:val="auto"/>
                <w:kern w:val="2"/>
                <w:sz w:val="21"/>
                <w:szCs w:val="21"/>
                <w:highlight w:val="none"/>
                <w:lang w:val="en-US" w:eastAsia="zh-CN" w:bidi="ar-SA"/>
              </w:rPr>
            </w:pPr>
            <w:r>
              <w:rPr>
                <w:rFonts w:hint="default" w:ascii="宋体" w:hAnsi="宋体" w:eastAsia="宋体" w:cs="Times New Roman"/>
                <w:color w:val="auto"/>
                <w:kern w:val="2"/>
                <w:sz w:val="21"/>
                <w:szCs w:val="21"/>
                <w:highlight w:val="none"/>
                <w:lang w:val="en-US" w:eastAsia="zh-CN" w:bidi="ar-SA"/>
              </w:rPr>
              <w:t>大写：</w:t>
            </w:r>
          </w:p>
          <w:p>
            <w:pPr>
              <w:keepNext w:val="0"/>
              <w:keepLines w:val="0"/>
              <w:suppressLineNumbers w:val="0"/>
              <w:adjustRightInd/>
              <w:snapToGrid w:val="0"/>
              <w:spacing w:before="50" w:beforeAutospacing="0" w:after="50" w:afterAutospacing="0"/>
              <w:ind w:left="0" w:right="0"/>
              <w:jc w:val="left"/>
              <w:rPr>
                <w:rFonts w:hint="default" w:ascii="宋体" w:hAnsi="宋体" w:eastAsia="宋体" w:cs="Times New Roman"/>
                <w:color w:val="auto"/>
                <w:kern w:val="2"/>
                <w:sz w:val="21"/>
                <w:szCs w:val="21"/>
                <w:highlight w:val="none"/>
                <w:lang w:val="en-US" w:eastAsia="zh-CN" w:bidi="ar-SA"/>
              </w:rPr>
            </w:pPr>
            <w:r>
              <w:rPr>
                <w:rFonts w:hint="default" w:ascii="宋体" w:hAnsi="宋体" w:eastAsia="宋体" w:cs="Times New Roman"/>
                <w:color w:val="auto"/>
                <w:kern w:val="2"/>
                <w:sz w:val="21"/>
                <w:szCs w:val="21"/>
                <w:highlight w:val="none"/>
                <w:lang w:val="en-US" w:eastAsia="zh-CN" w:bidi="ar-SA"/>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20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投标声明</w:t>
            </w:r>
          </w:p>
        </w:tc>
        <w:tc>
          <w:tcPr>
            <w:tcW w:w="74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rPr>
                <w:rFonts w:hint="eastAsia" w:ascii="Times New Roman" w:hAnsi="Times New Roman" w:eastAsia="宋体" w:cs="Times New Roman"/>
                <w:color w:val="auto"/>
                <w:szCs w:val="21"/>
                <w:highlight w:val="none"/>
              </w:rPr>
            </w:pPr>
          </w:p>
        </w:tc>
      </w:tr>
    </w:tbl>
    <w:p>
      <w:pPr>
        <w:pStyle w:val="52"/>
        <w:rPr>
          <w:rFonts w:hint="eastAsia"/>
          <w:color w:val="auto"/>
          <w:highlight w:val="none"/>
          <w:lang w:val="zh-CN"/>
        </w:rPr>
      </w:pPr>
    </w:p>
    <w:p>
      <w:pPr>
        <w:kinsoku/>
        <w:wordWrap/>
        <w:overflowPunct/>
        <w:topLinePunct w:val="0"/>
        <w:bidi w:val="0"/>
        <w:snapToGrid w:val="0"/>
        <w:spacing w:line="360" w:lineRule="auto"/>
        <w:ind w:left="480"/>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kinsoku/>
        <w:wordWrap/>
        <w:overflowPunct/>
        <w:topLinePunct w:val="0"/>
        <w:bidi w:val="0"/>
        <w:spacing w:line="360" w:lineRule="auto"/>
        <w:ind w:left="-2" w:leftChars="-1" w:firstLine="480" w:firstLineChars="2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highlight w:val="none"/>
        </w:rPr>
      </w:pPr>
      <w:bookmarkStart w:id="518" w:name="_Toc25773"/>
      <w:bookmarkStart w:id="519" w:name="_Toc30621"/>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20" w:name="_Hlk101259491"/>
      <w:r>
        <w:rPr>
          <w:rFonts w:hint="eastAsia" w:ascii="宋体" w:hAnsi="宋体" w:eastAsia="宋体" w:cs="宋体"/>
          <w:color w:val="auto"/>
          <w:sz w:val="32"/>
          <w:szCs w:val="32"/>
          <w:highlight w:val="none"/>
        </w:rPr>
        <w:t>（如果有）</w:t>
      </w:r>
      <w:bookmarkEnd w:id="518"/>
      <w:bookmarkEnd w:id="519"/>
      <w:bookmarkEnd w:id="520"/>
    </w:p>
    <w:p>
      <w:pPr>
        <w:widowControl/>
        <w:kinsoku/>
        <w:wordWrap/>
        <w:overflowPunct/>
        <w:topLinePunct w:val="0"/>
        <w:bidi w:val="0"/>
        <w:spacing w:line="360" w:lineRule="auto"/>
        <w:ind w:firstLine="120" w:firstLineChars="50"/>
        <w:jc w:val="left"/>
        <w:outlineLvl w:val="9"/>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auto"/>
          <w:sz w:val="32"/>
          <w:szCs w:val="32"/>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color w:val="auto"/>
          <w:highlight w:val="none"/>
        </w:rPr>
      </w:pPr>
      <w:bookmarkStart w:id="521" w:name="_Toc465665161"/>
      <w:r>
        <w:rPr>
          <w:rFonts w:hint="eastAsia" w:ascii="宋体" w:hAnsi="宋体" w:cs="宋体"/>
          <w:b/>
          <w:bCs/>
          <w:color w:val="auto"/>
          <w:highlight w:val="none"/>
        </w:rPr>
        <w:t>附件</w:t>
      </w:r>
      <w:bookmarkEnd w:id="521"/>
    </w:p>
    <w:p>
      <w:pPr>
        <w:kinsoku/>
        <w:wordWrap/>
        <w:overflowPunct/>
        <w:topLinePunct w:val="0"/>
        <w:bidi w:val="0"/>
        <w:spacing w:line="360" w:lineRule="auto"/>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bookmarkStart w:id="522" w:name="OLE_LINK14"/>
      <w:bookmarkStart w:id="523" w:name="OLE_LINK13"/>
      <w:r>
        <w:rPr>
          <w:rFonts w:hint="eastAsia" w:ascii="宋体" w:hAnsi="宋体" w:cs="宋体"/>
          <w:b/>
          <w:color w:val="auto"/>
          <w:spacing w:val="6"/>
          <w:sz w:val="32"/>
          <w:szCs w:val="32"/>
          <w:highlight w:val="none"/>
        </w:rPr>
        <w:t>残疾人福利性单位声明函</w:t>
      </w:r>
    </w:p>
    <w:bookmarkEnd w:id="522"/>
    <w:bookmarkEnd w:id="523"/>
    <w:p>
      <w:pPr>
        <w:kinsoku/>
        <w:wordWrap/>
        <w:overflowPunct/>
        <w:topLinePunct w:val="0"/>
        <w:bidi w:val="0"/>
        <w:spacing w:line="360" w:lineRule="auto"/>
        <w:outlineLvl w:val="9"/>
        <w:rPr>
          <w:rFonts w:ascii="宋体" w:hAnsi="宋体" w:cs="宋体"/>
          <w:b/>
          <w:color w:val="auto"/>
          <w:spacing w:val="6"/>
          <w:sz w:val="30"/>
          <w:szCs w:val="30"/>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color w:val="auto"/>
          <w:sz w:val="24"/>
          <w:highlight w:val="none"/>
        </w:rPr>
      </w:pPr>
      <w:r>
        <w:rPr>
          <w:rFonts w:hint="eastAsia" w:ascii="宋体" w:hAnsi="宋体" w:cs="宋体"/>
          <w:color w:val="auto"/>
          <w:sz w:val="24"/>
          <w:highlight w:val="none"/>
        </w:rPr>
        <w:t xml:space="preserve">       日  期：</w:t>
      </w: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jc w:val="left"/>
        <w:outlineLvl w:val="9"/>
        <w:rPr>
          <w:rFonts w:hint="eastAsia"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kinsoku/>
        <w:wordWrap/>
        <w:overflowPunct/>
        <w:topLinePunct w:val="0"/>
        <w:bidi w:val="0"/>
        <w:snapToGrid w:val="0"/>
        <w:spacing w:before="240" w:beforeLines="100" w:line="360" w:lineRule="auto"/>
        <w:outlineLvl w:val="9"/>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获取日期：</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质疑事项2</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日期：    </w:t>
      </w:r>
    </w:p>
    <w:p>
      <w:pPr>
        <w:kinsoku/>
        <w:wordWrap/>
        <w:overflowPunct/>
        <w:topLinePunct w:val="0"/>
        <w:bidi w:val="0"/>
        <w:spacing w:line="360" w:lineRule="auto"/>
        <w:jc w:val="center"/>
        <w:outlineLvl w:val="9"/>
        <w:rPr>
          <w:rFonts w:ascii="宋体" w:hAnsi="宋体" w:cs="宋体"/>
          <w:b/>
          <w:bCs/>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color w:val="auto"/>
          <w:sz w:val="30"/>
          <w:szCs w:val="30"/>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kinsoku/>
        <w:wordWrap/>
        <w:overflowPunct/>
        <w:topLinePunct w:val="0"/>
        <w:bidi w:val="0"/>
        <w:spacing w:line="360" w:lineRule="auto"/>
        <w:jc w:val="center"/>
        <w:outlineLvl w:val="9"/>
        <w:rPr>
          <w:rFonts w:ascii="宋体" w:hAnsi="宋体" w:cs="宋体"/>
          <w:b/>
          <w:color w:val="auto"/>
          <w:sz w:val="24"/>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一、投诉相关主体基本情况</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kinsoku/>
        <w:wordWrap/>
        <w:overflowPunct/>
        <w:topLinePunct w:val="0"/>
        <w:bidi w:val="0"/>
        <w:spacing w:line="360" w:lineRule="auto"/>
        <w:jc w:val="left"/>
        <w:outlineLvl w:val="9"/>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被投诉人2</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二、投诉项目基本情况</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三、质疑基本情况</w:t>
      </w:r>
    </w:p>
    <w:p>
      <w:pPr>
        <w:kinsoku/>
        <w:wordWrap/>
        <w:overflowPunct/>
        <w:topLinePunct w:val="0"/>
        <w:bidi w:val="0"/>
        <w:spacing w:line="360" w:lineRule="auto"/>
        <w:ind w:firstLine="480" w:firstLineChars="200"/>
        <w:outlineLvl w:val="9"/>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四、投诉事项具体内容</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投诉事项2</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日期：    </w:t>
      </w: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kinsoku/>
        <w:wordWrap/>
        <w:overflowPunct/>
        <w:topLinePunct w:val="0"/>
        <w:bidi w:val="0"/>
        <w:spacing w:line="360" w:lineRule="auto"/>
        <w:outlineLvl w:val="9"/>
        <w:rPr>
          <w:rFonts w:ascii="宋体" w:hAnsi="宋体" w:cs="宋体"/>
          <w:color w:val="auto"/>
          <w:sz w:val="24"/>
          <w:highlight w:val="none"/>
          <w:u w:val="single"/>
        </w:rPr>
      </w:pP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特此说明。</w:t>
      </w: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right="480" w:firstLine="4080" w:firstLineChars="1700"/>
        <w:outlineLvl w:val="9"/>
        <w:rPr>
          <w:rFonts w:ascii="宋体" w:hAnsi="宋体" w:cs="宋体"/>
          <w:color w:val="auto"/>
          <w:sz w:val="24"/>
          <w:highlight w:val="none"/>
        </w:rPr>
      </w:pPr>
      <w:r>
        <w:rPr>
          <w:rFonts w:hint="eastAsia" w:ascii="宋体" w:hAnsi="宋体" w:cs="宋体"/>
          <w:color w:val="auto"/>
          <w:sz w:val="24"/>
          <w:highlight w:val="none"/>
        </w:rPr>
        <w:t>投标单位（法定名称章）：</w:t>
      </w:r>
    </w:p>
    <w:p>
      <w:pPr>
        <w:kinsoku/>
        <w:wordWrap/>
        <w:overflowPunct/>
        <w:topLinePunct w:val="0"/>
        <w:bidi w:val="0"/>
        <w:ind w:right="1440" w:firstLine="494"/>
        <w:jc w:val="center"/>
        <w:outlineLvl w:val="9"/>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kinsoku/>
        <w:wordWrap/>
        <w:overflowPunct/>
        <w:topLinePunct w:val="0"/>
        <w:bidi w:val="0"/>
        <w:outlineLvl w:val="9"/>
        <w:rPr>
          <w:rFonts w:ascii="宋体" w:hAnsi="宋体" w:cs="宋体"/>
          <w:color w:val="auto"/>
          <w:sz w:val="24"/>
          <w:highlight w:val="none"/>
        </w:rPr>
      </w:pPr>
      <w:r>
        <w:rPr>
          <w:rFonts w:hint="eastAsia" w:ascii="宋体" w:hAnsi="宋体" w:cs="宋体"/>
          <w:b/>
          <w:bCs/>
          <w:color w:val="auto"/>
          <w:sz w:val="24"/>
          <w:highlight w:val="none"/>
        </w:rPr>
        <w:t>附：</w:t>
      </w:r>
    </w:p>
    <w:p>
      <w:pPr>
        <w:kinsoku/>
        <w:wordWrap/>
        <w:overflowPunct/>
        <w:topLinePunct w:val="0"/>
        <w:bidi w:val="0"/>
        <w:spacing w:line="360" w:lineRule="auto"/>
        <w:outlineLvl w:val="9"/>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bidi w:val="0"/>
        <w:snapToGrid w:val="0"/>
        <w:spacing w:line="360" w:lineRule="auto"/>
        <w:jc w:val="center"/>
        <w:outlineLvl w:val="9"/>
        <w:rPr>
          <w:rFonts w:hint="eastAsia"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bookmarkStart w:id="524"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24"/>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kinsoku/>
        <w:wordWrap/>
        <w:overflowPunct/>
        <w:topLinePunct w:val="0"/>
        <w:bidi w:val="0"/>
        <w:snapToGrid w:val="0"/>
        <w:spacing w:line="360" w:lineRule="auto"/>
        <w:jc w:val="both"/>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outlineLvl w:val="9"/>
        <w:rPr>
          <w:rFonts w:hint="eastAsia" w:ascii="宋体" w:hAnsi="宋体" w:cs="宋体"/>
          <w:color w:val="auto"/>
          <w:sz w:val="24"/>
          <w:highlight w:val="none"/>
        </w:rPr>
      </w:pPr>
      <w:r>
        <w:rPr>
          <w:rFonts w:hint="eastAsia" w:ascii="宋体" w:hAnsi="宋体" w:cs="宋体"/>
          <w:color w:val="auto"/>
          <w:sz w:val="24"/>
          <w:highlight w:val="none"/>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2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25"/>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highlight w:val="none"/>
          <w:u w:val="single"/>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u w:val="single"/>
        </w:rPr>
        <w:t>）</w:t>
      </w:r>
      <w:r>
        <w:rPr>
          <w:rFonts w:hint="eastAsia" w:ascii="宋体" w:hAnsi="宋体" w:cs="宋体"/>
          <w:color w:val="auto"/>
          <w:sz w:val="24"/>
          <w:highlight w:val="none"/>
        </w:rPr>
        <w:t>行业 ；承建（承接）为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u w:val="single"/>
        </w:rPr>
        <w:t>）</w:t>
      </w:r>
      <w:r>
        <w:rPr>
          <w:rFonts w:hint="eastAsia" w:ascii="宋体" w:hAnsi="宋体" w:cs="宋体"/>
          <w:color w:val="auto"/>
          <w:sz w:val="24"/>
          <w:highlight w:val="none"/>
        </w:rPr>
        <w:t>行业 ；承建（承接）为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注：1、填写要求：①“标的名称”、“</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中明确的所属行业”依据招标文件第二部分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color w:val="auto"/>
          <w:sz w:val="24"/>
          <w:highlight w:val="none"/>
        </w:rPr>
      </w:pPr>
      <w:r>
        <w:rPr>
          <w:rFonts w:hint="eastAsia" w:ascii="宋体" w:hAnsi="宋体" w:cs="宋体"/>
          <w:color w:val="auto"/>
          <w:sz w:val="24"/>
          <w:highlight w:val="none"/>
          <w:lang w:val="en-US" w:eastAsia="zh-CN"/>
        </w:rPr>
        <w:t>3、其他未列明行业。从业人员300人以下的为中小微型企业。其中，从业人员100人及以上的为中型企业；从业人员10人及以上的为小型企业；从业人员10人以下的为微型企业。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5BAD"/>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2474"/>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EF"/>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E04F0"/>
    <w:rsid w:val="016F0A91"/>
    <w:rsid w:val="019F7441"/>
    <w:rsid w:val="01B37585"/>
    <w:rsid w:val="01B51D18"/>
    <w:rsid w:val="01B67601"/>
    <w:rsid w:val="01D55165"/>
    <w:rsid w:val="01DC482E"/>
    <w:rsid w:val="01DD1E9F"/>
    <w:rsid w:val="01DF6BF8"/>
    <w:rsid w:val="01EC2C57"/>
    <w:rsid w:val="01EF122A"/>
    <w:rsid w:val="02426589"/>
    <w:rsid w:val="025F0711"/>
    <w:rsid w:val="026B2E25"/>
    <w:rsid w:val="02824D4D"/>
    <w:rsid w:val="0284056C"/>
    <w:rsid w:val="02C1531D"/>
    <w:rsid w:val="02D84414"/>
    <w:rsid w:val="02DC4B10"/>
    <w:rsid w:val="02DD76CE"/>
    <w:rsid w:val="02F36323"/>
    <w:rsid w:val="02F5619C"/>
    <w:rsid w:val="02FA11C7"/>
    <w:rsid w:val="0326446A"/>
    <w:rsid w:val="032D5555"/>
    <w:rsid w:val="036634D2"/>
    <w:rsid w:val="03905ADC"/>
    <w:rsid w:val="03DA48E8"/>
    <w:rsid w:val="03DD35E4"/>
    <w:rsid w:val="04073203"/>
    <w:rsid w:val="04076900"/>
    <w:rsid w:val="040F156E"/>
    <w:rsid w:val="041A5A3B"/>
    <w:rsid w:val="042042C5"/>
    <w:rsid w:val="042311BA"/>
    <w:rsid w:val="042B157A"/>
    <w:rsid w:val="0458719A"/>
    <w:rsid w:val="045C69D9"/>
    <w:rsid w:val="04722D72"/>
    <w:rsid w:val="048F763B"/>
    <w:rsid w:val="049F330E"/>
    <w:rsid w:val="04AA775C"/>
    <w:rsid w:val="04AF1889"/>
    <w:rsid w:val="04C15CE9"/>
    <w:rsid w:val="04C52A1F"/>
    <w:rsid w:val="04E3348B"/>
    <w:rsid w:val="04F66F48"/>
    <w:rsid w:val="05133589"/>
    <w:rsid w:val="0518354E"/>
    <w:rsid w:val="05251E14"/>
    <w:rsid w:val="054E2A1E"/>
    <w:rsid w:val="059B00A7"/>
    <w:rsid w:val="05A16594"/>
    <w:rsid w:val="05A7762D"/>
    <w:rsid w:val="05C869C2"/>
    <w:rsid w:val="05FB57F0"/>
    <w:rsid w:val="060E5941"/>
    <w:rsid w:val="06110FAF"/>
    <w:rsid w:val="06206C00"/>
    <w:rsid w:val="06493CA7"/>
    <w:rsid w:val="065A6178"/>
    <w:rsid w:val="06605C46"/>
    <w:rsid w:val="066F1CF3"/>
    <w:rsid w:val="067A7832"/>
    <w:rsid w:val="06851580"/>
    <w:rsid w:val="06930BB8"/>
    <w:rsid w:val="06A26752"/>
    <w:rsid w:val="06A91D04"/>
    <w:rsid w:val="0705522E"/>
    <w:rsid w:val="07245D42"/>
    <w:rsid w:val="07261BF2"/>
    <w:rsid w:val="07264C62"/>
    <w:rsid w:val="072A7934"/>
    <w:rsid w:val="074E7C71"/>
    <w:rsid w:val="07703D20"/>
    <w:rsid w:val="0779354C"/>
    <w:rsid w:val="078D3A1F"/>
    <w:rsid w:val="07C35742"/>
    <w:rsid w:val="08061376"/>
    <w:rsid w:val="08123F24"/>
    <w:rsid w:val="08422A5C"/>
    <w:rsid w:val="0845254C"/>
    <w:rsid w:val="08452D77"/>
    <w:rsid w:val="086401F8"/>
    <w:rsid w:val="08751CAA"/>
    <w:rsid w:val="087E4C40"/>
    <w:rsid w:val="08834CC4"/>
    <w:rsid w:val="08A871D0"/>
    <w:rsid w:val="08D631A4"/>
    <w:rsid w:val="08D66AD6"/>
    <w:rsid w:val="08DA33A3"/>
    <w:rsid w:val="08E05092"/>
    <w:rsid w:val="08E80F13"/>
    <w:rsid w:val="08ED490B"/>
    <w:rsid w:val="09335624"/>
    <w:rsid w:val="093403CB"/>
    <w:rsid w:val="0944690F"/>
    <w:rsid w:val="09535675"/>
    <w:rsid w:val="095C2F24"/>
    <w:rsid w:val="095F057D"/>
    <w:rsid w:val="09606C8A"/>
    <w:rsid w:val="09642282"/>
    <w:rsid w:val="09703ADF"/>
    <w:rsid w:val="09733572"/>
    <w:rsid w:val="09772C16"/>
    <w:rsid w:val="098353B5"/>
    <w:rsid w:val="098F7F12"/>
    <w:rsid w:val="09A92330"/>
    <w:rsid w:val="09B06B87"/>
    <w:rsid w:val="09C13146"/>
    <w:rsid w:val="09D46C43"/>
    <w:rsid w:val="09D709B0"/>
    <w:rsid w:val="09E04166"/>
    <w:rsid w:val="0A045B92"/>
    <w:rsid w:val="0A1C0718"/>
    <w:rsid w:val="0A28182A"/>
    <w:rsid w:val="0A3E7710"/>
    <w:rsid w:val="0A5B7E63"/>
    <w:rsid w:val="0A7E5DA1"/>
    <w:rsid w:val="0AA374A5"/>
    <w:rsid w:val="0AAB7649"/>
    <w:rsid w:val="0ABC5606"/>
    <w:rsid w:val="0AEC4F01"/>
    <w:rsid w:val="0B0D6C7C"/>
    <w:rsid w:val="0B30404E"/>
    <w:rsid w:val="0B3351D8"/>
    <w:rsid w:val="0B4C6C14"/>
    <w:rsid w:val="0B547599"/>
    <w:rsid w:val="0B631A88"/>
    <w:rsid w:val="0B683D45"/>
    <w:rsid w:val="0B7F3F11"/>
    <w:rsid w:val="0B884417"/>
    <w:rsid w:val="0B8F7902"/>
    <w:rsid w:val="0BB2024E"/>
    <w:rsid w:val="0BB70527"/>
    <w:rsid w:val="0BBA339C"/>
    <w:rsid w:val="0BF6188C"/>
    <w:rsid w:val="0BF73C91"/>
    <w:rsid w:val="0C170175"/>
    <w:rsid w:val="0C23311B"/>
    <w:rsid w:val="0C571A41"/>
    <w:rsid w:val="0C5C1171"/>
    <w:rsid w:val="0C5E1CBC"/>
    <w:rsid w:val="0C615B50"/>
    <w:rsid w:val="0C711B61"/>
    <w:rsid w:val="0C7927C4"/>
    <w:rsid w:val="0C8445DA"/>
    <w:rsid w:val="0C87121B"/>
    <w:rsid w:val="0CC007F7"/>
    <w:rsid w:val="0CC617AC"/>
    <w:rsid w:val="0CCC5321"/>
    <w:rsid w:val="0CDA32A3"/>
    <w:rsid w:val="0CE618DF"/>
    <w:rsid w:val="0CF10955"/>
    <w:rsid w:val="0CFE707A"/>
    <w:rsid w:val="0D063BDA"/>
    <w:rsid w:val="0D08375F"/>
    <w:rsid w:val="0D184CFB"/>
    <w:rsid w:val="0D4A7419"/>
    <w:rsid w:val="0D5F5E5E"/>
    <w:rsid w:val="0D827401"/>
    <w:rsid w:val="0D84094E"/>
    <w:rsid w:val="0D8A00E9"/>
    <w:rsid w:val="0D8D589E"/>
    <w:rsid w:val="0D8E5FAA"/>
    <w:rsid w:val="0DA01C73"/>
    <w:rsid w:val="0DCA2888"/>
    <w:rsid w:val="0DD63300"/>
    <w:rsid w:val="0DF50604"/>
    <w:rsid w:val="0DF702FE"/>
    <w:rsid w:val="0E060E51"/>
    <w:rsid w:val="0E13321E"/>
    <w:rsid w:val="0E1434A7"/>
    <w:rsid w:val="0E5604B2"/>
    <w:rsid w:val="0E6D5D79"/>
    <w:rsid w:val="0E9A03FC"/>
    <w:rsid w:val="0E9D0089"/>
    <w:rsid w:val="0EA06CB7"/>
    <w:rsid w:val="0EA75D9A"/>
    <w:rsid w:val="0EAA7385"/>
    <w:rsid w:val="0EB803EE"/>
    <w:rsid w:val="0ECD3EA6"/>
    <w:rsid w:val="0ECD7BAA"/>
    <w:rsid w:val="0ED14B39"/>
    <w:rsid w:val="0EDC3291"/>
    <w:rsid w:val="0EF94D4B"/>
    <w:rsid w:val="0F170CE4"/>
    <w:rsid w:val="0F1C6E00"/>
    <w:rsid w:val="0F4958DC"/>
    <w:rsid w:val="0F515DF7"/>
    <w:rsid w:val="0F517A28"/>
    <w:rsid w:val="0F563291"/>
    <w:rsid w:val="0F596BA8"/>
    <w:rsid w:val="0F6248D2"/>
    <w:rsid w:val="0F693536"/>
    <w:rsid w:val="0F7B0511"/>
    <w:rsid w:val="0F7B76D9"/>
    <w:rsid w:val="0F816ACD"/>
    <w:rsid w:val="0F8B4F2A"/>
    <w:rsid w:val="0F9832DB"/>
    <w:rsid w:val="0FA53461"/>
    <w:rsid w:val="0FBF3FD2"/>
    <w:rsid w:val="0FBF7FF3"/>
    <w:rsid w:val="0FD63FD1"/>
    <w:rsid w:val="0FFF2388"/>
    <w:rsid w:val="10174821"/>
    <w:rsid w:val="104447E9"/>
    <w:rsid w:val="10646583"/>
    <w:rsid w:val="107514F4"/>
    <w:rsid w:val="107D4B15"/>
    <w:rsid w:val="108A3C80"/>
    <w:rsid w:val="10C02B10"/>
    <w:rsid w:val="10C26171"/>
    <w:rsid w:val="10F33360"/>
    <w:rsid w:val="10FC16EA"/>
    <w:rsid w:val="110F1D40"/>
    <w:rsid w:val="11194998"/>
    <w:rsid w:val="11266F33"/>
    <w:rsid w:val="116033DA"/>
    <w:rsid w:val="11673E86"/>
    <w:rsid w:val="1175349A"/>
    <w:rsid w:val="117669E6"/>
    <w:rsid w:val="1181450E"/>
    <w:rsid w:val="118963A1"/>
    <w:rsid w:val="11BF336F"/>
    <w:rsid w:val="11C6522A"/>
    <w:rsid w:val="11D067E4"/>
    <w:rsid w:val="11E104CC"/>
    <w:rsid w:val="11E20309"/>
    <w:rsid w:val="1201785C"/>
    <w:rsid w:val="12106436"/>
    <w:rsid w:val="12255233"/>
    <w:rsid w:val="1226647F"/>
    <w:rsid w:val="124675EC"/>
    <w:rsid w:val="12530213"/>
    <w:rsid w:val="12547EAC"/>
    <w:rsid w:val="125C0BBE"/>
    <w:rsid w:val="12691A06"/>
    <w:rsid w:val="12695089"/>
    <w:rsid w:val="127723A9"/>
    <w:rsid w:val="12862074"/>
    <w:rsid w:val="12883966"/>
    <w:rsid w:val="12937E5A"/>
    <w:rsid w:val="129E45B4"/>
    <w:rsid w:val="12AE6A32"/>
    <w:rsid w:val="12D81596"/>
    <w:rsid w:val="12E72FE9"/>
    <w:rsid w:val="13072A44"/>
    <w:rsid w:val="1343264F"/>
    <w:rsid w:val="1346119F"/>
    <w:rsid w:val="135F4BE2"/>
    <w:rsid w:val="136A10B9"/>
    <w:rsid w:val="137E6302"/>
    <w:rsid w:val="13815EDF"/>
    <w:rsid w:val="139B1A0A"/>
    <w:rsid w:val="139D25C7"/>
    <w:rsid w:val="13BF3CE4"/>
    <w:rsid w:val="13CA16CE"/>
    <w:rsid w:val="13F374B8"/>
    <w:rsid w:val="141008D8"/>
    <w:rsid w:val="14125FE6"/>
    <w:rsid w:val="146D271E"/>
    <w:rsid w:val="14982588"/>
    <w:rsid w:val="149A5AD9"/>
    <w:rsid w:val="14A7619D"/>
    <w:rsid w:val="14F70F66"/>
    <w:rsid w:val="150536C3"/>
    <w:rsid w:val="150C1963"/>
    <w:rsid w:val="151447A0"/>
    <w:rsid w:val="15163B8A"/>
    <w:rsid w:val="153F04BB"/>
    <w:rsid w:val="154A6454"/>
    <w:rsid w:val="155854AE"/>
    <w:rsid w:val="15610299"/>
    <w:rsid w:val="156A0E93"/>
    <w:rsid w:val="156E3D61"/>
    <w:rsid w:val="15762120"/>
    <w:rsid w:val="157E7936"/>
    <w:rsid w:val="15962639"/>
    <w:rsid w:val="15B36D47"/>
    <w:rsid w:val="15D157AE"/>
    <w:rsid w:val="15EB309C"/>
    <w:rsid w:val="15F01D49"/>
    <w:rsid w:val="15F76776"/>
    <w:rsid w:val="16A8729C"/>
    <w:rsid w:val="16B1694A"/>
    <w:rsid w:val="16B33777"/>
    <w:rsid w:val="16BC70A7"/>
    <w:rsid w:val="16C17534"/>
    <w:rsid w:val="16C6339E"/>
    <w:rsid w:val="16E34270"/>
    <w:rsid w:val="172F2D79"/>
    <w:rsid w:val="173C2D6C"/>
    <w:rsid w:val="17557BEF"/>
    <w:rsid w:val="17D349C1"/>
    <w:rsid w:val="18244F26"/>
    <w:rsid w:val="18245CDA"/>
    <w:rsid w:val="1830729E"/>
    <w:rsid w:val="1870062C"/>
    <w:rsid w:val="18760BB3"/>
    <w:rsid w:val="18817102"/>
    <w:rsid w:val="18830A15"/>
    <w:rsid w:val="18852B28"/>
    <w:rsid w:val="188B5321"/>
    <w:rsid w:val="188E4CA2"/>
    <w:rsid w:val="18933499"/>
    <w:rsid w:val="18B00717"/>
    <w:rsid w:val="18B539B9"/>
    <w:rsid w:val="18D45A69"/>
    <w:rsid w:val="18D6213F"/>
    <w:rsid w:val="18E24C39"/>
    <w:rsid w:val="190D71AF"/>
    <w:rsid w:val="193E47DD"/>
    <w:rsid w:val="19541AE6"/>
    <w:rsid w:val="19932372"/>
    <w:rsid w:val="19A20DD5"/>
    <w:rsid w:val="19AE03F1"/>
    <w:rsid w:val="19C25DFF"/>
    <w:rsid w:val="19EF056A"/>
    <w:rsid w:val="1A071A03"/>
    <w:rsid w:val="1A1F16AE"/>
    <w:rsid w:val="1A3B5C77"/>
    <w:rsid w:val="1A692698"/>
    <w:rsid w:val="1A846F04"/>
    <w:rsid w:val="1A984BAD"/>
    <w:rsid w:val="1AB8220E"/>
    <w:rsid w:val="1ABA46D4"/>
    <w:rsid w:val="1AE4166C"/>
    <w:rsid w:val="1AF06CFB"/>
    <w:rsid w:val="1AF11B8D"/>
    <w:rsid w:val="1B057F96"/>
    <w:rsid w:val="1B11359C"/>
    <w:rsid w:val="1B214753"/>
    <w:rsid w:val="1B2A271F"/>
    <w:rsid w:val="1B530544"/>
    <w:rsid w:val="1B570174"/>
    <w:rsid w:val="1B713184"/>
    <w:rsid w:val="1BA209CF"/>
    <w:rsid w:val="1BB4777D"/>
    <w:rsid w:val="1BBF058C"/>
    <w:rsid w:val="1BC752A5"/>
    <w:rsid w:val="1BCC110E"/>
    <w:rsid w:val="1BD75AB8"/>
    <w:rsid w:val="1C0459C2"/>
    <w:rsid w:val="1C1B3B4A"/>
    <w:rsid w:val="1C284B16"/>
    <w:rsid w:val="1C580648"/>
    <w:rsid w:val="1C610BFB"/>
    <w:rsid w:val="1C6B28A5"/>
    <w:rsid w:val="1C8574D5"/>
    <w:rsid w:val="1C88086E"/>
    <w:rsid w:val="1C8D7751"/>
    <w:rsid w:val="1C915908"/>
    <w:rsid w:val="1CC1038E"/>
    <w:rsid w:val="1CC17F9B"/>
    <w:rsid w:val="1CC37CA8"/>
    <w:rsid w:val="1CDD1FCF"/>
    <w:rsid w:val="1CEB6DC6"/>
    <w:rsid w:val="1CF77E61"/>
    <w:rsid w:val="1CFF5F62"/>
    <w:rsid w:val="1D081FED"/>
    <w:rsid w:val="1D0E0D07"/>
    <w:rsid w:val="1D1E62D0"/>
    <w:rsid w:val="1D203C5E"/>
    <w:rsid w:val="1D266CE1"/>
    <w:rsid w:val="1D3963AF"/>
    <w:rsid w:val="1D417B50"/>
    <w:rsid w:val="1D4552E6"/>
    <w:rsid w:val="1D6A673C"/>
    <w:rsid w:val="1D6B6159"/>
    <w:rsid w:val="1D9247AE"/>
    <w:rsid w:val="1DB567EC"/>
    <w:rsid w:val="1DF51A98"/>
    <w:rsid w:val="1E051CD9"/>
    <w:rsid w:val="1E3D060F"/>
    <w:rsid w:val="1E3F7D2E"/>
    <w:rsid w:val="1E4134E4"/>
    <w:rsid w:val="1E5062B3"/>
    <w:rsid w:val="1E523514"/>
    <w:rsid w:val="1E5B441F"/>
    <w:rsid w:val="1E714A66"/>
    <w:rsid w:val="1E802593"/>
    <w:rsid w:val="1E814BE5"/>
    <w:rsid w:val="1E8B6156"/>
    <w:rsid w:val="1EA703CC"/>
    <w:rsid w:val="1EB7330C"/>
    <w:rsid w:val="1EC94328"/>
    <w:rsid w:val="1EDF4DDA"/>
    <w:rsid w:val="1EEC27E3"/>
    <w:rsid w:val="1EED0876"/>
    <w:rsid w:val="1EF31AE1"/>
    <w:rsid w:val="1EFC364D"/>
    <w:rsid w:val="1F0A0FF3"/>
    <w:rsid w:val="1F3E1D77"/>
    <w:rsid w:val="1F47684D"/>
    <w:rsid w:val="1F5771FF"/>
    <w:rsid w:val="1F5F7009"/>
    <w:rsid w:val="1F930620"/>
    <w:rsid w:val="1FB57B5F"/>
    <w:rsid w:val="1FBB7EFD"/>
    <w:rsid w:val="1FC73600"/>
    <w:rsid w:val="1FD52574"/>
    <w:rsid w:val="1FE868A9"/>
    <w:rsid w:val="20034907"/>
    <w:rsid w:val="20173E4B"/>
    <w:rsid w:val="204E48BC"/>
    <w:rsid w:val="208921B3"/>
    <w:rsid w:val="20973DEB"/>
    <w:rsid w:val="20A36034"/>
    <w:rsid w:val="20B26522"/>
    <w:rsid w:val="20B44310"/>
    <w:rsid w:val="20BF1705"/>
    <w:rsid w:val="20D858B3"/>
    <w:rsid w:val="21035A46"/>
    <w:rsid w:val="211116EB"/>
    <w:rsid w:val="213411B9"/>
    <w:rsid w:val="21432B39"/>
    <w:rsid w:val="215018EE"/>
    <w:rsid w:val="215A6C10"/>
    <w:rsid w:val="216133FC"/>
    <w:rsid w:val="21C45D42"/>
    <w:rsid w:val="21D56769"/>
    <w:rsid w:val="21DF255E"/>
    <w:rsid w:val="21E169EA"/>
    <w:rsid w:val="21E52EF3"/>
    <w:rsid w:val="21FB5D7B"/>
    <w:rsid w:val="22015E94"/>
    <w:rsid w:val="220B1C3D"/>
    <w:rsid w:val="220F64F1"/>
    <w:rsid w:val="221D1D20"/>
    <w:rsid w:val="22274D44"/>
    <w:rsid w:val="22326F75"/>
    <w:rsid w:val="22334A87"/>
    <w:rsid w:val="22384C79"/>
    <w:rsid w:val="22482214"/>
    <w:rsid w:val="226F6442"/>
    <w:rsid w:val="22BE6801"/>
    <w:rsid w:val="22E318F6"/>
    <w:rsid w:val="22EC3898"/>
    <w:rsid w:val="232C68AC"/>
    <w:rsid w:val="233500BF"/>
    <w:rsid w:val="23377FF7"/>
    <w:rsid w:val="234F5CFB"/>
    <w:rsid w:val="236B046C"/>
    <w:rsid w:val="236B425F"/>
    <w:rsid w:val="23836192"/>
    <w:rsid w:val="23901F29"/>
    <w:rsid w:val="239C0061"/>
    <w:rsid w:val="23B2407F"/>
    <w:rsid w:val="23B908A4"/>
    <w:rsid w:val="23E95BEF"/>
    <w:rsid w:val="23FD0064"/>
    <w:rsid w:val="24077A99"/>
    <w:rsid w:val="241E3F25"/>
    <w:rsid w:val="24217571"/>
    <w:rsid w:val="245375B0"/>
    <w:rsid w:val="24537BC5"/>
    <w:rsid w:val="245B6DB7"/>
    <w:rsid w:val="246279E1"/>
    <w:rsid w:val="24642C0A"/>
    <w:rsid w:val="249146F7"/>
    <w:rsid w:val="24B22173"/>
    <w:rsid w:val="24B618E1"/>
    <w:rsid w:val="24B95AD9"/>
    <w:rsid w:val="24BE24DA"/>
    <w:rsid w:val="24C3687B"/>
    <w:rsid w:val="24CF5825"/>
    <w:rsid w:val="24D663E6"/>
    <w:rsid w:val="24D757B6"/>
    <w:rsid w:val="24D77F2B"/>
    <w:rsid w:val="24DE5879"/>
    <w:rsid w:val="256718FC"/>
    <w:rsid w:val="258B00E2"/>
    <w:rsid w:val="25A917A6"/>
    <w:rsid w:val="25AB2553"/>
    <w:rsid w:val="25BE27CC"/>
    <w:rsid w:val="25D435EF"/>
    <w:rsid w:val="25F0544D"/>
    <w:rsid w:val="25F74A5C"/>
    <w:rsid w:val="261513AF"/>
    <w:rsid w:val="26240585"/>
    <w:rsid w:val="2628662C"/>
    <w:rsid w:val="262D45DE"/>
    <w:rsid w:val="26871DC8"/>
    <w:rsid w:val="268B161A"/>
    <w:rsid w:val="26A53EF9"/>
    <w:rsid w:val="26A544E4"/>
    <w:rsid w:val="26A94201"/>
    <w:rsid w:val="26AC274F"/>
    <w:rsid w:val="26EA4996"/>
    <w:rsid w:val="27044A29"/>
    <w:rsid w:val="271D34C8"/>
    <w:rsid w:val="272730F1"/>
    <w:rsid w:val="27457CE6"/>
    <w:rsid w:val="276142BF"/>
    <w:rsid w:val="276370CF"/>
    <w:rsid w:val="27783712"/>
    <w:rsid w:val="278D4EE0"/>
    <w:rsid w:val="27907362"/>
    <w:rsid w:val="279544FE"/>
    <w:rsid w:val="279760D4"/>
    <w:rsid w:val="27C17204"/>
    <w:rsid w:val="27CB3CE5"/>
    <w:rsid w:val="280276BA"/>
    <w:rsid w:val="28081174"/>
    <w:rsid w:val="28101DD7"/>
    <w:rsid w:val="28333E1D"/>
    <w:rsid w:val="28454BD6"/>
    <w:rsid w:val="28455253"/>
    <w:rsid w:val="28551971"/>
    <w:rsid w:val="285A2FA5"/>
    <w:rsid w:val="285B1C53"/>
    <w:rsid w:val="287702CA"/>
    <w:rsid w:val="288B5901"/>
    <w:rsid w:val="289F7086"/>
    <w:rsid w:val="28C32028"/>
    <w:rsid w:val="28CC490F"/>
    <w:rsid w:val="28D61EBD"/>
    <w:rsid w:val="28DE40AA"/>
    <w:rsid w:val="29333963"/>
    <w:rsid w:val="29345E77"/>
    <w:rsid w:val="29475CCC"/>
    <w:rsid w:val="294C65AD"/>
    <w:rsid w:val="2965010A"/>
    <w:rsid w:val="29806583"/>
    <w:rsid w:val="298B3C4C"/>
    <w:rsid w:val="298F19EC"/>
    <w:rsid w:val="298F27C5"/>
    <w:rsid w:val="29AB0437"/>
    <w:rsid w:val="29E344D0"/>
    <w:rsid w:val="29F10CFD"/>
    <w:rsid w:val="29F26D24"/>
    <w:rsid w:val="2A0E67EA"/>
    <w:rsid w:val="2A15033F"/>
    <w:rsid w:val="2A1662C1"/>
    <w:rsid w:val="2A1C7367"/>
    <w:rsid w:val="2A2815FA"/>
    <w:rsid w:val="2A636B36"/>
    <w:rsid w:val="2A6D6092"/>
    <w:rsid w:val="2A715F67"/>
    <w:rsid w:val="2A7D76B4"/>
    <w:rsid w:val="2AB56C65"/>
    <w:rsid w:val="2AED6C7B"/>
    <w:rsid w:val="2B09293F"/>
    <w:rsid w:val="2B2D427B"/>
    <w:rsid w:val="2B437463"/>
    <w:rsid w:val="2B597F39"/>
    <w:rsid w:val="2B7807EE"/>
    <w:rsid w:val="2B852AF3"/>
    <w:rsid w:val="2BA50BF7"/>
    <w:rsid w:val="2BBF00EC"/>
    <w:rsid w:val="2BC162D3"/>
    <w:rsid w:val="2BC37CFD"/>
    <w:rsid w:val="2BD5237F"/>
    <w:rsid w:val="2BE536CE"/>
    <w:rsid w:val="2BE758D9"/>
    <w:rsid w:val="2BE9496F"/>
    <w:rsid w:val="2BF10171"/>
    <w:rsid w:val="2BF346BB"/>
    <w:rsid w:val="2C09049E"/>
    <w:rsid w:val="2C0A653C"/>
    <w:rsid w:val="2C191F85"/>
    <w:rsid w:val="2C31056E"/>
    <w:rsid w:val="2C384254"/>
    <w:rsid w:val="2C587AAB"/>
    <w:rsid w:val="2C5933A3"/>
    <w:rsid w:val="2C6554BB"/>
    <w:rsid w:val="2CD00A43"/>
    <w:rsid w:val="2CE82D6F"/>
    <w:rsid w:val="2CF308DE"/>
    <w:rsid w:val="2CF41CC7"/>
    <w:rsid w:val="2D0B17AA"/>
    <w:rsid w:val="2D197980"/>
    <w:rsid w:val="2D343236"/>
    <w:rsid w:val="2D4A6867"/>
    <w:rsid w:val="2D575011"/>
    <w:rsid w:val="2D75168C"/>
    <w:rsid w:val="2D9E4D24"/>
    <w:rsid w:val="2D9F156A"/>
    <w:rsid w:val="2DAC5EA2"/>
    <w:rsid w:val="2DB11966"/>
    <w:rsid w:val="2DBE0ECB"/>
    <w:rsid w:val="2DD15014"/>
    <w:rsid w:val="2DF72DE4"/>
    <w:rsid w:val="2E0220AF"/>
    <w:rsid w:val="2E4B082A"/>
    <w:rsid w:val="2E586286"/>
    <w:rsid w:val="2E5A0900"/>
    <w:rsid w:val="2E5D4E86"/>
    <w:rsid w:val="2E5D790B"/>
    <w:rsid w:val="2E6136A4"/>
    <w:rsid w:val="2E625356"/>
    <w:rsid w:val="2E6D478D"/>
    <w:rsid w:val="2E840A66"/>
    <w:rsid w:val="2E9A3C18"/>
    <w:rsid w:val="2E9A78DD"/>
    <w:rsid w:val="2EBB0FEE"/>
    <w:rsid w:val="2EC63002"/>
    <w:rsid w:val="2ECF08DB"/>
    <w:rsid w:val="2EDA5F7B"/>
    <w:rsid w:val="2F0A6B38"/>
    <w:rsid w:val="2F127D22"/>
    <w:rsid w:val="2F616D81"/>
    <w:rsid w:val="2F7760A6"/>
    <w:rsid w:val="2F7960D4"/>
    <w:rsid w:val="2F8772D8"/>
    <w:rsid w:val="2F8A246F"/>
    <w:rsid w:val="2F905058"/>
    <w:rsid w:val="2F920A3A"/>
    <w:rsid w:val="2F946CCB"/>
    <w:rsid w:val="2FD25781"/>
    <w:rsid w:val="2FDC745C"/>
    <w:rsid w:val="2FF434B5"/>
    <w:rsid w:val="2FF817EF"/>
    <w:rsid w:val="2FFD7934"/>
    <w:rsid w:val="30134B5A"/>
    <w:rsid w:val="30733ACD"/>
    <w:rsid w:val="307A6E8E"/>
    <w:rsid w:val="308C3862"/>
    <w:rsid w:val="309379D8"/>
    <w:rsid w:val="30A270F7"/>
    <w:rsid w:val="30B04157"/>
    <w:rsid w:val="30B579BF"/>
    <w:rsid w:val="30C25A2F"/>
    <w:rsid w:val="30DF1478"/>
    <w:rsid w:val="30EC586F"/>
    <w:rsid w:val="30FD3EF5"/>
    <w:rsid w:val="311734C2"/>
    <w:rsid w:val="311961A0"/>
    <w:rsid w:val="31413C4F"/>
    <w:rsid w:val="31501496"/>
    <w:rsid w:val="315C42DF"/>
    <w:rsid w:val="31796C3F"/>
    <w:rsid w:val="319C6071"/>
    <w:rsid w:val="319D4A39"/>
    <w:rsid w:val="319F38CE"/>
    <w:rsid w:val="31AC537E"/>
    <w:rsid w:val="31AE2A82"/>
    <w:rsid w:val="31C9409A"/>
    <w:rsid w:val="31CD6AA8"/>
    <w:rsid w:val="31E3679B"/>
    <w:rsid w:val="31E732FD"/>
    <w:rsid w:val="31E85B72"/>
    <w:rsid w:val="320C7229"/>
    <w:rsid w:val="32385D83"/>
    <w:rsid w:val="32517576"/>
    <w:rsid w:val="32764F2C"/>
    <w:rsid w:val="32BE5C2C"/>
    <w:rsid w:val="32BF0681"/>
    <w:rsid w:val="32F04F5C"/>
    <w:rsid w:val="32FA790B"/>
    <w:rsid w:val="32FB6478"/>
    <w:rsid w:val="332629BB"/>
    <w:rsid w:val="33263B3F"/>
    <w:rsid w:val="333C0319"/>
    <w:rsid w:val="336963EB"/>
    <w:rsid w:val="33816EEB"/>
    <w:rsid w:val="339A10EE"/>
    <w:rsid w:val="33EB55CD"/>
    <w:rsid w:val="33EC4C02"/>
    <w:rsid w:val="340D2360"/>
    <w:rsid w:val="3410665D"/>
    <w:rsid w:val="34190265"/>
    <w:rsid w:val="34211214"/>
    <w:rsid w:val="342E63AB"/>
    <w:rsid w:val="34321327"/>
    <w:rsid w:val="345A1D9D"/>
    <w:rsid w:val="34936269"/>
    <w:rsid w:val="34950E68"/>
    <w:rsid w:val="34986E94"/>
    <w:rsid w:val="34AF62C9"/>
    <w:rsid w:val="34CB4388"/>
    <w:rsid w:val="34E602EB"/>
    <w:rsid w:val="34F226A3"/>
    <w:rsid w:val="34F90942"/>
    <w:rsid w:val="34FA6E12"/>
    <w:rsid w:val="35092088"/>
    <w:rsid w:val="35132F06"/>
    <w:rsid w:val="352E568B"/>
    <w:rsid w:val="354D7158"/>
    <w:rsid w:val="358B2E3C"/>
    <w:rsid w:val="358D5588"/>
    <w:rsid w:val="35BA6F50"/>
    <w:rsid w:val="35DA3A24"/>
    <w:rsid w:val="35DF6310"/>
    <w:rsid w:val="361374D2"/>
    <w:rsid w:val="363A3B40"/>
    <w:rsid w:val="363B0967"/>
    <w:rsid w:val="365302AE"/>
    <w:rsid w:val="3660217B"/>
    <w:rsid w:val="36607A0A"/>
    <w:rsid w:val="366E227C"/>
    <w:rsid w:val="366F2E0D"/>
    <w:rsid w:val="367B6A5C"/>
    <w:rsid w:val="367F6029"/>
    <w:rsid w:val="369C0E1F"/>
    <w:rsid w:val="369D2EA4"/>
    <w:rsid w:val="36A22794"/>
    <w:rsid w:val="36A74ADA"/>
    <w:rsid w:val="36AD60D5"/>
    <w:rsid w:val="36B224F9"/>
    <w:rsid w:val="36E44D2C"/>
    <w:rsid w:val="36EC0CC9"/>
    <w:rsid w:val="372C7F37"/>
    <w:rsid w:val="373F410B"/>
    <w:rsid w:val="374B61CE"/>
    <w:rsid w:val="37AF5B0F"/>
    <w:rsid w:val="37B24C58"/>
    <w:rsid w:val="37C702A9"/>
    <w:rsid w:val="37DA41AF"/>
    <w:rsid w:val="37EE7094"/>
    <w:rsid w:val="37F4701F"/>
    <w:rsid w:val="38296C89"/>
    <w:rsid w:val="383002EB"/>
    <w:rsid w:val="38586797"/>
    <w:rsid w:val="385D15DF"/>
    <w:rsid w:val="386F25DF"/>
    <w:rsid w:val="38A04AB1"/>
    <w:rsid w:val="38AC5B4C"/>
    <w:rsid w:val="38BC0149"/>
    <w:rsid w:val="38CD0DC8"/>
    <w:rsid w:val="38D87D1C"/>
    <w:rsid w:val="38E92C80"/>
    <w:rsid w:val="38F512A1"/>
    <w:rsid w:val="38FB291B"/>
    <w:rsid w:val="391334D5"/>
    <w:rsid w:val="392E0A88"/>
    <w:rsid w:val="39300DFB"/>
    <w:rsid w:val="39636459"/>
    <w:rsid w:val="396446BF"/>
    <w:rsid w:val="396B7F6C"/>
    <w:rsid w:val="39B417A9"/>
    <w:rsid w:val="39C66799"/>
    <w:rsid w:val="39E3243F"/>
    <w:rsid w:val="39FC5695"/>
    <w:rsid w:val="3A006D8E"/>
    <w:rsid w:val="3A3651E5"/>
    <w:rsid w:val="3A744481"/>
    <w:rsid w:val="3A8C7BEF"/>
    <w:rsid w:val="3A8F302F"/>
    <w:rsid w:val="3A906246"/>
    <w:rsid w:val="3AC1582F"/>
    <w:rsid w:val="3AFF6407"/>
    <w:rsid w:val="3B2349B7"/>
    <w:rsid w:val="3B2C0E8E"/>
    <w:rsid w:val="3B2D45F6"/>
    <w:rsid w:val="3B523D67"/>
    <w:rsid w:val="3B616CFF"/>
    <w:rsid w:val="3B6259F6"/>
    <w:rsid w:val="3B976654"/>
    <w:rsid w:val="3B9C37F1"/>
    <w:rsid w:val="3BC01EFC"/>
    <w:rsid w:val="3BCA786A"/>
    <w:rsid w:val="3BD31E2F"/>
    <w:rsid w:val="3BEB698B"/>
    <w:rsid w:val="3BF15831"/>
    <w:rsid w:val="3BF770DE"/>
    <w:rsid w:val="3C105946"/>
    <w:rsid w:val="3C177780"/>
    <w:rsid w:val="3C471448"/>
    <w:rsid w:val="3C4E0AFB"/>
    <w:rsid w:val="3C536A3E"/>
    <w:rsid w:val="3C5F759A"/>
    <w:rsid w:val="3C6363CE"/>
    <w:rsid w:val="3C6C525A"/>
    <w:rsid w:val="3C6E4EC6"/>
    <w:rsid w:val="3C74072E"/>
    <w:rsid w:val="3CB44AC3"/>
    <w:rsid w:val="3CCE23CB"/>
    <w:rsid w:val="3CD17D17"/>
    <w:rsid w:val="3D362E0F"/>
    <w:rsid w:val="3D3C7F39"/>
    <w:rsid w:val="3D440F09"/>
    <w:rsid w:val="3D4504A0"/>
    <w:rsid w:val="3D4A5E08"/>
    <w:rsid w:val="3D6458FA"/>
    <w:rsid w:val="3D8734BB"/>
    <w:rsid w:val="3D8C5F4C"/>
    <w:rsid w:val="3D9A11D4"/>
    <w:rsid w:val="3DA16D89"/>
    <w:rsid w:val="3DA364BE"/>
    <w:rsid w:val="3DCD3E19"/>
    <w:rsid w:val="3DE041CB"/>
    <w:rsid w:val="3E0D48F6"/>
    <w:rsid w:val="3E1868B4"/>
    <w:rsid w:val="3E377251"/>
    <w:rsid w:val="3E42664B"/>
    <w:rsid w:val="3E507983"/>
    <w:rsid w:val="3E5A7334"/>
    <w:rsid w:val="3E7B5D6B"/>
    <w:rsid w:val="3E843E66"/>
    <w:rsid w:val="3E8F51FE"/>
    <w:rsid w:val="3E926F87"/>
    <w:rsid w:val="3E9A59DE"/>
    <w:rsid w:val="3EAF4836"/>
    <w:rsid w:val="3EBD1E5D"/>
    <w:rsid w:val="3EC13ECC"/>
    <w:rsid w:val="3EC33DFA"/>
    <w:rsid w:val="3ED656D0"/>
    <w:rsid w:val="3F060E16"/>
    <w:rsid w:val="3F0D372E"/>
    <w:rsid w:val="3F1D1096"/>
    <w:rsid w:val="3F2F0234"/>
    <w:rsid w:val="3F6363FE"/>
    <w:rsid w:val="3F6778AF"/>
    <w:rsid w:val="3F756B8F"/>
    <w:rsid w:val="3F7E53F5"/>
    <w:rsid w:val="3F95482B"/>
    <w:rsid w:val="3FB86B84"/>
    <w:rsid w:val="3FC16416"/>
    <w:rsid w:val="3FFF47B3"/>
    <w:rsid w:val="4019356B"/>
    <w:rsid w:val="40592157"/>
    <w:rsid w:val="406E1CAE"/>
    <w:rsid w:val="40A0133A"/>
    <w:rsid w:val="40A37834"/>
    <w:rsid w:val="40B44A20"/>
    <w:rsid w:val="40BA66CD"/>
    <w:rsid w:val="40C31A53"/>
    <w:rsid w:val="40C70712"/>
    <w:rsid w:val="40D479EE"/>
    <w:rsid w:val="40E83499"/>
    <w:rsid w:val="40FF545D"/>
    <w:rsid w:val="410067C8"/>
    <w:rsid w:val="41736914"/>
    <w:rsid w:val="418926FB"/>
    <w:rsid w:val="418F0D2A"/>
    <w:rsid w:val="41921B42"/>
    <w:rsid w:val="419B49AF"/>
    <w:rsid w:val="41A970CC"/>
    <w:rsid w:val="41B12798"/>
    <w:rsid w:val="41D01505"/>
    <w:rsid w:val="41D1374D"/>
    <w:rsid w:val="41F93484"/>
    <w:rsid w:val="42474939"/>
    <w:rsid w:val="424C3C57"/>
    <w:rsid w:val="42613FF3"/>
    <w:rsid w:val="42660D96"/>
    <w:rsid w:val="428667D2"/>
    <w:rsid w:val="42903DE8"/>
    <w:rsid w:val="429C0C25"/>
    <w:rsid w:val="42B1494A"/>
    <w:rsid w:val="42B71375"/>
    <w:rsid w:val="42CD1CE0"/>
    <w:rsid w:val="42E1381E"/>
    <w:rsid w:val="42ED6459"/>
    <w:rsid w:val="42FE33C9"/>
    <w:rsid w:val="42FE58DD"/>
    <w:rsid w:val="43065E58"/>
    <w:rsid w:val="43174B3D"/>
    <w:rsid w:val="4340517B"/>
    <w:rsid w:val="434B790E"/>
    <w:rsid w:val="435E7A42"/>
    <w:rsid w:val="4360274F"/>
    <w:rsid w:val="436074C4"/>
    <w:rsid w:val="43923B90"/>
    <w:rsid w:val="43977AB6"/>
    <w:rsid w:val="43A3342B"/>
    <w:rsid w:val="43C77C27"/>
    <w:rsid w:val="43DB20E4"/>
    <w:rsid w:val="43DE09EE"/>
    <w:rsid w:val="44002FAD"/>
    <w:rsid w:val="441B764E"/>
    <w:rsid w:val="443864E5"/>
    <w:rsid w:val="4479751F"/>
    <w:rsid w:val="449101DD"/>
    <w:rsid w:val="44AB6CB7"/>
    <w:rsid w:val="44B8520A"/>
    <w:rsid w:val="44DE1391"/>
    <w:rsid w:val="45100579"/>
    <w:rsid w:val="451B225C"/>
    <w:rsid w:val="452410C9"/>
    <w:rsid w:val="45317DFB"/>
    <w:rsid w:val="45586D59"/>
    <w:rsid w:val="455E1F7C"/>
    <w:rsid w:val="456D3CE4"/>
    <w:rsid w:val="4579042C"/>
    <w:rsid w:val="457F0571"/>
    <w:rsid w:val="45851176"/>
    <w:rsid w:val="45935AF4"/>
    <w:rsid w:val="45C63B94"/>
    <w:rsid w:val="45D264C6"/>
    <w:rsid w:val="45D65FB6"/>
    <w:rsid w:val="460E7DA5"/>
    <w:rsid w:val="461011E0"/>
    <w:rsid w:val="4628284A"/>
    <w:rsid w:val="46333408"/>
    <w:rsid w:val="46422483"/>
    <w:rsid w:val="4645489C"/>
    <w:rsid w:val="4647199E"/>
    <w:rsid w:val="4659254A"/>
    <w:rsid w:val="465B0637"/>
    <w:rsid w:val="465E3F0D"/>
    <w:rsid w:val="46625A9C"/>
    <w:rsid w:val="466838D6"/>
    <w:rsid w:val="466A16E6"/>
    <w:rsid w:val="46893F2B"/>
    <w:rsid w:val="46B61F24"/>
    <w:rsid w:val="46C4686E"/>
    <w:rsid w:val="46E22739"/>
    <w:rsid w:val="46E55629"/>
    <w:rsid w:val="46E97F6B"/>
    <w:rsid w:val="47156B58"/>
    <w:rsid w:val="477B778F"/>
    <w:rsid w:val="478203EC"/>
    <w:rsid w:val="47B025FA"/>
    <w:rsid w:val="4809698F"/>
    <w:rsid w:val="480C3F11"/>
    <w:rsid w:val="4811697D"/>
    <w:rsid w:val="4812283E"/>
    <w:rsid w:val="48194880"/>
    <w:rsid w:val="4836049D"/>
    <w:rsid w:val="487230E1"/>
    <w:rsid w:val="487A3E25"/>
    <w:rsid w:val="488B5503"/>
    <w:rsid w:val="48937E21"/>
    <w:rsid w:val="48975609"/>
    <w:rsid w:val="489A0361"/>
    <w:rsid w:val="48A653A7"/>
    <w:rsid w:val="48B94FF3"/>
    <w:rsid w:val="48E1714C"/>
    <w:rsid w:val="48E37AAB"/>
    <w:rsid w:val="48FD4B4C"/>
    <w:rsid w:val="490A68E0"/>
    <w:rsid w:val="491055FE"/>
    <w:rsid w:val="49214527"/>
    <w:rsid w:val="49261002"/>
    <w:rsid w:val="493D634C"/>
    <w:rsid w:val="495F5B3E"/>
    <w:rsid w:val="496B6655"/>
    <w:rsid w:val="496F77D7"/>
    <w:rsid w:val="49753D38"/>
    <w:rsid w:val="497654FD"/>
    <w:rsid w:val="497B610E"/>
    <w:rsid w:val="49892E51"/>
    <w:rsid w:val="49B64211"/>
    <w:rsid w:val="49C67378"/>
    <w:rsid w:val="49F6167F"/>
    <w:rsid w:val="4A043D0F"/>
    <w:rsid w:val="4A064FA0"/>
    <w:rsid w:val="4A16615C"/>
    <w:rsid w:val="4A1B043B"/>
    <w:rsid w:val="4A365779"/>
    <w:rsid w:val="4A4424D7"/>
    <w:rsid w:val="4A565766"/>
    <w:rsid w:val="4A5971B6"/>
    <w:rsid w:val="4A7E7A76"/>
    <w:rsid w:val="4A9E5367"/>
    <w:rsid w:val="4AB82D0F"/>
    <w:rsid w:val="4AE64290"/>
    <w:rsid w:val="4AEB7664"/>
    <w:rsid w:val="4AED7781"/>
    <w:rsid w:val="4AF34F14"/>
    <w:rsid w:val="4AF84C20"/>
    <w:rsid w:val="4AFD3FE5"/>
    <w:rsid w:val="4AFD7C19"/>
    <w:rsid w:val="4B0567D1"/>
    <w:rsid w:val="4B0E747A"/>
    <w:rsid w:val="4B236AAE"/>
    <w:rsid w:val="4B412124"/>
    <w:rsid w:val="4B4A45E7"/>
    <w:rsid w:val="4B5C51AF"/>
    <w:rsid w:val="4B707271"/>
    <w:rsid w:val="4B7A5635"/>
    <w:rsid w:val="4B9739F7"/>
    <w:rsid w:val="4BBF5506"/>
    <w:rsid w:val="4BC0573E"/>
    <w:rsid w:val="4BEE2503"/>
    <w:rsid w:val="4BF11D83"/>
    <w:rsid w:val="4BF559FF"/>
    <w:rsid w:val="4C245A30"/>
    <w:rsid w:val="4C281285"/>
    <w:rsid w:val="4C352698"/>
    <w:rsid w:val="4C9646F1"/>
    <w:rsid w:val="4CB25804"/>
    <w:rsid w:val="4CB6685F"/>
    <w:rsid w:val="4CC367FE"/>
    <w:rsid w:val="4CEF5BAF"/>
    <w:rsid w:val="4D077F3C"/>
    <w:rsid w:val="4D123355"/>
    <w:rsid w:val="4D2A3B31"/>
    <w:rsid w:val="4D312C52"/>
    <w:rsid w:val="4D4F574C"/>
    <w:rsid w:val="4D905305"/>
    <w:rsid w:val="4D964A72"/>
    <w:rsid w:val="4D9B1643"/>
    <w:rsid w:val="4D9C1254"/>
    <w:rsid w:val="4DB1031F"/>
    <w:rsid w:val="4DC25072"/>
    <w:rsid w:val="4DCB4CA4"/>
    <w:rsid w:val="4DD21759"/>
    <w:rsid w:val="4E083A40"/>
    <w:rsid w:val="4E793892"/>
    <w:rsid w:val="4E800872"/>
    <w:rsid w:val="4E90715E"/>
    <w:rsid w:val="4E95707A"/>
    <w:rsid w:val="4EC569ED"/>
    <w:rsid w:val="4ED50EA1"/>
    <w:rsid w:val="4EEC050C"/>
    <w:rsid w:val="4F104EC3"/>
    <w:rsid w:val="4F1633CA"/>
    <w:rsid w:val="4F47354A"/>
    <w:rsid w:val="4F62571C"/>
    <w:rsid w:val="4F8B6063"/>
    <w:rsid w:val="4F911C54"/>
    <w:rsid w:val="4FC5018F"/>
    <w:rsid w:val="4FE625E0"/>
    <w:rsid w:val="5021480F"/>
    <w:rsid w:val="5076676F"/>
    <w:rsid w:val="50962ECB"/>
    <w:rsid w:val="50A42E38"/>
    <w:rsid w:val="50A4577F"/>
    <w:rsid w:val="50B73D1F"/>
    <w:rsid w:val="50BD5BC9"/>
    <w:rsid w:val="50C11EEE"/>
    <w:rsid w:val="50E97CFC"/>
    <w:rsid w:val="50EF43D0"/>
    <w:rsid w:val="50FA4028"/>
    <w:rsid w:val="510D65B7"/>
    <w:rsid w:val="511157AB"/>
    <w:rsid w:val="51256043"/>
    <w:rsid w:val="513C382A"/>
    <w:rsid w:val="5142540C"/>
    <w:rsid w:val="516C77CE"/>
    <w:rsid w:val="518832C8"/>
    <w:rsid w:val="51935AB4"/>
    <w:rsid w:val="519D3C50"/>
    <w:rsid w:val="519D6B66"/>
    <w:rsid w:val="51A0432A"/>
    <w:rsid w:val="51A86090"/>
    <w:rsid w:val="51A90A23"/>
    <w:rsid w:val="51B7396D"/>
    <w:rsid w:val="51C06FBC"/>
    <w:rsid w:val="51C55131"/>
    <w:rsid w:val="51CC6EC2"/>
    <w:rsid w:val="520420FD"/>
    <w:rsid w:val="52263AC6"/>
    <w:rsid w:val="522916A8"/>
    <w:rsid w:val="522E4CC3"/>
    <w:rsid w:val="5244713B"/>
    <w:rsid w:val="5258567D"/>
    <w:rsid w:val="52615633"/>
    <w:rsid w:val="526F4DE4"/>
    <w:rsid w:val="5272134C"/>
    <w:rsid w:val="529214B7"/>
    <w:rsid w:val="52977FD4"/>
    <w:rsid w:val="529813CF"/>
    <w:rsid w:val="52A25790"/>
    <w:rsid w:val="52A96B6F"/>
    <w:rsid w:val="52B45975"/>
    <w:rsid w:val="52D753D2"/>
    <w:rsid w:val="52D94AA4"/>
    <w:rsid w:val="52E75AB2"/>
    <w:rsid w:val="52E760A8"/>
    <w:rsid w:val="52EA3A62"/>
    <w:rsid w:val="52EC0BF4"/>
    <w:rsid w:val="52F50BB8"/>
    <w:rsid w:val="53097272"/>
    <w:rsid w:val="5318228B"/>
    <w:rsid w:val="53544462"/>
    <w:rsid w:val="536C5EBC"/>
    <w:rsid w:val="5397158E"/>
    <w:rsid w:val="53E6260A"/>
    <w:rsid w:val="53F109E6"/>
    <w:rsid w:val="54013861"/>
    <w:rsid w:val="54014B46"/>
    <w:rsid w:val="540208BE"/>
    <w:rsid w:val="540F3ADB"/>
    <w:rsid w:val="543C16DA"/>
    <w:rsid w:val="5444720F"/>
    <w:rsid w:val="54487265"/>
    <w:rsid w:val="544D6070"/>
    <w:rsid w:val="54605E1E"/>
    <w:rsid w:val="54613836"/>
    <w:rsid w:val="54A45253"/>
    <w:rsid w:val="54B3506A"/>
    <w:rsid w:val="54C90683"/>
    <w:rsid w:val="54CA0D16"/>
    <w:rsid w:val="54DD4057"/>
    <w:rsid w:val="54E7490F"/>
    <w:rsid w:val="550764A4"/>
    <w:rsid w:val="550B2BF6"/>
    <w:rsid w:val="550F3998"/>
    <w:rsid w:val="55214EB5"/>
    <w:rsid w:val="55364EFD"/>
    <w:rsid w:val="55377F1F"/>
    <w:rsid w:val="555870B5"/>
    <w:rsid w:val="555D4828"/>
    <w:rsid w:val="557A4C8B"/>
    <w:rsid w:val="558931E1"/>
    <w:rsid w:val="55923347"/>
    <w:rsid w:val="55925180"/>
    <w:rsid w:val="55983B1B"/>
    <w:rsid w:val="55A8376B"/>
    <w:rsid w:val="55AB2B65"/>
    <w:rsid w:val="55AF1B1C"/>
    <w:rsid w:val="55B611EB"/>
    <w:rsid w:val="55B73BD3"/>
    <w:rsid w:val="55DC29B6"/>
    <w:rsid w:val="55DD4241"/>
    <w:rsid w:val="55E262B1"/>
    <w:rsid w:val="55FF50B5"/>
    <w:rsid w:val="566B6D1E"/>
    <w:rsid w:val="56B252F6"/>
    <w:rsid w:val="56CC38D1"/>
    <w:rsid w:val="56E11E48"/>
    <w:rsid w:val="57032A2C"/>
    <w:rsid w:val="570F5219"/>
    <w:rsid w:val="571E4796"/>
    <w:rsid w:val="575D12B5"/>
    <w:rsid w:val="57610A87"/>
    <w:rsid w:val="576178A6"/>
    <w:rsid w:val="577337DA"/>
    <w:rsid w:val="577B1140"/>
    <w:rsid w:val="577B7F21"/>
    <w:rsid w:val="577F181B"/>
    <w:rsid w:val="57921984"/>
    <w:rsid w:val="579737F0"/>
    <w:rsid w:val="57AB7B30"/>
    <w:rsid w:val="57AF5251"/>
    <w:rsid w:val="57B26373"/>
    <w:rsid w:val="57B63F04"/>
    <w:rsid w:val="57B7551B"/>
    <w:rsid w:val="57C942D3"/>
    <w:rsid w:val="57CD20C2"/>
    <w:rsid w:val="57D675AB"/>
    <w:rsid w:val="57D73717"/>
    <w:rsid w:val="57D95FDD"/>
    <w:rsid w:val="57E22784"/>
    <w:rsid w:val="57E82409"/>
    <w:rsid w:val="58490869"/>
    <w:rsid w:val="58501BF8"/>
    <w:rsid w:val="586438F5"/>
    <w:rsid w:val="58727DC0"/>
    <w:rsid w:val="587C3B8A"/>
    <w:rsid w:val="58900246"/>
    <w:rsid w:val="58917D2F"/>
    <w:rsid w:val="5894085C"/>
    <w:rsid w:val="58AE4F0C"/>
    <w:rsid w:val="58B85899"/>
    <w:rsid w:val="58E363A9"/>
    <w:rsid w:val="58EF598F"/>
    <w:rsid w:val="590F3861"/>
    <w:rsid w:val="59166304"/>
    <w:rsid w:val="59301424"/>
    <w:rsid w:val="59372DB8"/>
    <w:rsid w:val="595E1678"/>
    <w:rsid w:val="59645A89"/>
    <w:rsid w:val="596D5BD4"/>
    <w:rsid w:val="597332A9"/>
    <w:rsid w:val="5978041C"/>
    <w:rsid w:val="597E3DD8"/>
    <w:rsid w:val="59837DAB"/>
    <w:rsid w:val="599E4BE5"/>
    <w:rsid w:val="59A0672C"/>
    <w:rsid w:val="59AC5554"/>
    <w:rsid w:val="59B352CD"/>
    <w:rsid w:val="59DE4FE1"/>
    <w:rsid w:val="59EF245F"/>
    <w:rsid w:val="59F80043"/>
    <w:rsid w:val="5A09252F"/>
    <w:rsid w:val="5A0B2778"/>
    <w:rsid w:val="5A2A7C7B"/>
    <w:rsid w:val="5A3E2560"/>
    <w:rsid w:val="5A4932C9"/>
    <w:rsid w:val="5A5D3B6E"/>
    <w:rsid w:val="5A637A76"/>
    <w:rsid w:val="5A6D33BA"/>
    <w:rsid w:val="5A792B1F"/>
    <w:rsid w:val="5A7B6CD4"/>
    <w:rsid w:val="5A874767"/>
    <w:rsid w:val="5A955FE8"/>
    <w:rsid w:val="5AA85BE2"/>
    <w:rsid w:val="5AAD6F28"/>
    <w:rsid w:val="5AC0437F"/>
    <w:rsid w:val="5AC8016B"/>
    <w:rsid w:val="5AD63A24"/>
    <w:rsid w:val="5AEB1E12"/>
    <w:rsid w:val="5B2E1A1D"/>
    <w:rsid w:val="5B843432"/>
    <w:rsid w:val="5B843A1C"/>
    <w:rsid w:val="5B873E3F"/>
    <w:rsid w:val="5BBF1697"/>
    <w:rsid w:val="5BD4669C"/>
    <w:rsid w:val="5BEE3D39"/>
    <w:rsid w:val="5BF1724E"/>
    <w:rsid w:val="5C02690E"/>
    <w:rsid w:val="5C196DA7"/>
    <w:rsid w:val="5C2A048C"/>
    <w:rsid w:val="5C3435DF"/>
    <w:rsid w:val="5C3C7C98"/>
    <w:rsid w:val="5C4A5F64"/>
    <w:rsid w:val="5C6E4D42"/>
    <w:rsid w:val="5C80234E"/>
    <w:rsid w:val="5C883936"/>
    <w:rsid w:val="5C8A680C"/>
    <w:rsid w:val="5CA1761B"/>
    <w:rsid w:val="5CE95E77"/>
    <w:rsid w:val="5CF76771"/>
    <w:rsid w:val="5CFA1A85"/>
    <w:rsid w:val="5D0C4701"/>
    <w:rsid w:val="5D0F0395"/>
    <w:rsid w:val="5D131446"/>
    <w:rsid w:val="5D221076"/>
    <w:rsid w:val="5D2B1F4F"/>
    <w:rsid w:val="5D2C1E4E"/>
    <w:rsid w:val="5D2C42B6"/>
    <w:rsid w:val="5D397964"/>
    <w:rsid w:val="5D5A391C"/>
    <w:rsid w:val="5D5F10C0"/>
    <w:rsid w:val="5D794F45"/>
    <w:rsid w:val="5D891B7B"/>
    <w:rsid w:val="5DA75383"/>
    <w:rsid w:val="5DAD38EE"/>
    <w:rsid w:val="5DB524FD"/>
    <w:rsid w:val="5DC310BE"/>
    <w:rsid w:val="5DDE1A54"/>
    <w:rsid w:val="5E006862"/>
    <w:rsid w:val="5E0207B9"/>
    <w:rsid w:val="5E1834A1"/>
    <w:rsid w:val="5E261785"/>
    <w:rsid w:val="5E4A7017"/>
    <w:rsid w:val="5E4B2D2D"/>
    <w:rsid w:val="5E552BBA"/>
    <w:rsid w:val="5E611C10"/>
    <w:rsid w:val="5E762B94"/>
    <w:rsid w:val="5E7A0F3F"/>
    <w:rsid w:val="5E993BCD"/>
    <w:rsid w:val="5EF37781"/>
    <w:rsid w:val="5EFC7377"/>
    <w:rsid w:val="5F06174D"/>
    <w:rsid w:val="5F322057"/>
    <w:rsid w:val="5F3A3602"/>
    <w:rsid w:val="5F45733B"/>
    <w:rsid w:val="5F6277C6"/>
    <w:rsid w:val="5F6D0B1D"/>
    <w:rsid w:val="5F7B6E87"/>
    <w:rsid w:val="5F8D0B82"/>
    <w:rsid w:val="5FCC5339"/>
    <w:rsid w:val="5FE34A5B"/>
    <w:rsid w:val="5FFE1E36"/>
    <w:rsid w:val="60003F04"/>
    <w:rsid w:val="6004172D"/>
    <w:rsid w:val="60232584"/>
    <w:rsid w:val="60252844"/>
    <w:rsid w:val="605C6E4E"/>
    <w:rsid w:val="607330CE"/>
    <w:rsid w:val="60825176"/>
    <w:rsid w:val="608A5EC3"/>
    <w:rsid w:val="60982218"/>
    <w:rsid w:val="609F2AC4"/>
    <w:rsid w:val="60B82A30"/>
    <w:rsid w:val="60C330AE"/>
    <w:rsid w:val="60E0295D"/>
    <w:rsid w:val="60FA2EE8"/>
    <w:rsid w:val="61054A27"/>
    <w:rsid w:val="610A52BC"/>
    <w:rsid w:val="611D2366"/>
    <w:rsid w:val="61257885"/>
    <w:rsid w:val="6141056D"/>
    <w:rsid w:val="61421856"/>
    <w:rsid w:val="615227C4"/>
    <w:rsid w:val="61526F6E"/>
    <w:rsid w:val="61551709"/>
    <w:rsid w:val="615E238B"/>
    <w:rsid w:val="61652E80"/>
    <w:rsid w:val="61654E3F"/>
    <w:rsid w:val="617701F5"/>
    <w:rsid w:val="617F6CFC"/>
    <w:rsid w:val="6182292A"/>
    <w:rsid w:val="619F7F92"/>
    <w:rsid w:val="61BA6334"/>
    <w:rsid w:val="61C15914"/>
    <w:rsid w:val="61C807BC"/>
    <w:rsid w:val="61D4389A"/>
    <w:rsid w:val="61E81EE3"/>
    <w:rsid w:val="61F03696"/>
    <w:rsid w:val="61F94C26"/>
    <w:rsid w:val="61FA4982"/>
    <w:rsid w:val="62000E56"/>
    <w:rsid w:val="62043966"/>
    <w:rsid w:val="6228716A"/>
    <w:rsid w:val="624F3E49"/>
    <w:rsid w:val="62522A10"/>
    <w:rsid w:val="626200AF"/>
    <w:rsid w:val="62632286"/>
    <w:rsid w:val="627155B6"/>
    <w:rsid w:val="627B1F67"/>
    <w:rsid w:val="62885958"/>
    <w:rsid w:val="629E2D3B"/>
    <w:rsid w:val="62A3501A"/>
    <w:rsid w:val="62F31C3F"/>
    <w:rsid w:val="62F40B65"/>
    <w:rsid w:val="62F6339C"/>
    <w:rsid w:val="62FC2CFE"/>
    <w:rsid w:val="63024505"/>
    <w:rsid w:val="630737FB"/>
    <w:rsid w:val="6320666B"/>
    <w:rsid w:val="635600A5"/>
    <w:rsid w:val="635B1DB5"/>
    <w:rsid w:val="63711FED"/>
    <w:rsid w:val="63880DDC"/>
    <w:rsid w:val="638D750D"/>
    <w:rsid w:val="63AC6CC0"/>
    <w:rsid w:val="63B07EEF"/>
    <w:rsid w:val="63F44780"/>
    <w:rsid w:val="64030141"/>
    <w:rsid w:val="64055776"/>
    <w:rsid w:val="6416375F"/>
    <w:rsid w:val="64240056"/>
    <w:rsid w:val="643B1604"/>
    <w:rsid w:val="643E143A"/>
    <w:rsid w:val="64491666"/>
    <w:rsid w:val="645A5BAC"/>
    <w:rsid w:val="648B6EEF"/>
    <w:rsid w:val="649C354E"/>
    <w:rsid w:val="64C158BF"/>
    <w:rsid w:val="64CE2EAA"/>
    <w:rsid w:val="65167D25"/>
    <w:rsid w:val="65294F03"/>
    <w:rsid w:val="653C3090"/>
    <w:rsid w:val="653D3504"/>
    <w:rsid w:val="655B2F90"/>
    <w:rsid w:val="655F0EAE"/>
    <w:rsid w:val="65853702"/>
    <w:rsid w:val="65854376"/>
    <w:rsid w:val="658767BE"/>
    <w:rsid w:val="658820E9"/>
    <w:rsid w:val="65892531"/>
    <w:rsid w:val="66195831"/>
    <w:rsid w:val="661B0E4D"/>
    <w:rsid w:val="662D5327"/>
    <w:rsid w:val="662E75B1"/>
    <w:rsid w:val="663012BB"/>
    <w:rsid w:val="66342C2E"/>
    <w:rsid w:val="663E784C"/>
    <w:rsid w:val="66805D9E"/>
    <w:rsid w:val="6683763C"/>
    <w:rsid w:val="668B6A45"/>
    <w:rsid w:val="668C0B60"/>
    <w:rsid w:val="66BA1100"/>
    <w:rsid w:val="672F3F24"/>
    <w:rsid w:val="673E055F"/>
    <w:rsid w:val="6751439C"/>
    <w:rsid w:val="67551CE3"/>
    <w:rsid w:val="675E48FC"/>
    <w:rsid w:val="67755B92"/>
    <w:rsid w:val="678554B6"/>
    <w:rsid w:val="678A004E"/>
    <w:rsid w:val="679F4002"/>
    <w:rsid w:val="67A22552"/>
    <w:rsid w:val="67B22DCC"/>
    <w:rsid w:val="67BE71AA"/>
    <w:rsid w:val="67D90273"/>
    <w:rsid w:val="67DE5875"/>
    <w:rsid w:val="67E55852"/>
    <w:rsid w:val="67EA7CCE"/>
    <w:rsid w:val="67EB1AB4"/>
    <w:rsid w:val="67EE1AA4"/>
    <w:rsid w:val="67FA1285"/>
    <w:rsid w:val="6847200C"/>
    <w:rsid w:val="684E345F"/>
    <w:rsid w:val="68551F4F"/>
    <w:rsid w:val="687234C5"/>
    <w:rsid w:val="68771F38"/>
    <w:rsid w:val="687C10C9"/>
    <w:rsid w:val="68840C16"/>
    <w:rsid w:val="68866387"/>
    <w:rsid w:val="68876EFB"/>
    <w:rsid w:val="68884654"/>
    <w:rsid w:val="689F444F"/>
    <w:rsid w:val="68B82181"/>
    <w:rsid w:val="68B96DBB"/>
    <w:rsid w:val="68CA2805"/>
    <w:rsid w:val="68D0468F"/>
    <w:rsid w:val="68D27724"/>
    <w:rsid w:val="68E937A3"/>
    <w:rsid w:val="68FC1897"/>
    <w:rsid w:val="693E15D3"/>
    <w:rsid w:val="69407A67"/>
    <w:rsid w:val="69482477"/>
    <w:rsid w:val="69531548"/>
    <w:rsid w:val="695B6585"/>
    <w:rsid w:val="69627681"/>
    <w:rsid w:val="6977531D"/>
    <w:rsid w:val="697B0A9F"/>
    <w:rsid w:val="69990490"/>
    <w:rsid w:val="69C947A8"/>
    <w:rsid w:val="69CC2BFF"/>
    <w:rsid w:val="69D361E5"/>
    <w:rsid w:val="69E231EE"/>
    <w:rsid w:val="69F30635"/>
    <w:rsid w:val="69FD55B8"/>
    <w:rsid w:val="6A0B1C62"/>
    <w:rsid w:val="6A2406C8"/>
    <w:rsid w:val="6AA43E1A"/>
    <w:rsid w:val="6AAB0F10"/>
    <w:rsid w:val="6AB50B02"/>
    <w:rsid w:val="6ADE0BD1"/>
    <w:rsid w:val="6AE96859"/>
    <w:rsid w:val="6AED1528"/>
    <w:rsid w:val="6AFB0FE0"/>
    <w:rsid w:val="6B147746"/>
    <w:rsid w:val="6B24787C"/>
    <w:rsid w:val="6B486645"/>
    <w:rsid w:val="6B573233"/>
    <w:rsid w:val="6B5B6274"/>
    <w:rsid w:val="6B806A9A"/>
    <w:rsid w:val="6B847F5E"/>
    <w:rsid w:val="6B935D53"/>
    <w:rsid w:val="6BE658FB"/>
    <w:rsid w:val="6C196F71"/>
    <w:rsid w:val="6C226FCB"/>
    <w:rsid w:val="6C2B5723"/>
    <w:rsid w:val="6C2E1E2A"/>
    <w:rsid w:val="6C31226F"/>
    <w:rsid w:val="6C552F0B"/>
    <w:rsid w:val="6C677FCB"/>
    <w:rsid w:val="6C700663"/>
    <w:rsid w:val="6C7843B5"/>
    <w:rsid w:val="6C7D1436"/>
    <w:rsid w:val="6C8C67B7"/>
    <w:rsid w:val="6C9D744C"/>
    <w:rsid w:val="6CD209D6"/>
    <w:rsid w:val="6CF37630"/>
    <w:rsid w:val="6D03720A"/>
    <w:rsid w:val="6D167928"/>
    <w:rsid w:val="6D1A237D"/>
    <w:rsid w:val="6D21370B"/>
    <w:rsid w:val="6D26299B"/>
    <w:rsid w:val="6D4772EC"/>
    <w:rsid w:val="6D8228B3"/>
    <w:rsid w:val="6D9078AF"/>
    <w:rsid w:val="6DA00AD4"/>
    <w:rsid w:val="6DA0348B"/>
    <w:rsid w:val="6DAA3FEF"/>
    <w:rsid w:val="6DB12CE1"/>
    <w:rsid w:val="6DC0172B"/>
    <w:rsid w:val="6DCB690C"/>
    <w:rsid w:val="6DD41A5B"/>
    <w:rsid w:val="6DF43C2E"/>
    <w:rsid w:val="6DF51CA3"/>
    <w:rsid w:val="6E34121C"/>
    <w:rsid w:val="6E8335BD"/>
    <w:rsid w:val="6E8E12EF"/>
    <w:rsid w:val="6E972936"/>
    <w:rsid w:val="6EB40202"/>
    <w:rsid w:val="6ED446C5"/>
    <w:rsid w:val="6EE214DD"/>
    <w:rsid w:val="6F130D38"/>
    <w:rsid w:val="6F2A7D94"/>
    <w:rsid w:val="6F8331F1"/>
    <w:rsid w:val="6F8A0D9E"/>
    <w:rsid w:val="6FAE1A09"/>
    <w:rsid w:val="6FD75BF8"/>
    <w:rsid w:val="6FD76303"/>
    <w:rsid w:val="6FF922DA"/>
    <w:rsid w:val="700659F8"/>
    <w:rsid w:val="700D583A"/>
    <w:rsid w:val="70297111"/>
    <w:rsid w:val="704020FA"/>
    <w:rsid w:val="707723D0"/>
    <w:rsid w:val="708F2CC4"/>
    <w:rsid w:val="70961D03"/>
    <w:rsid w:val="70B054D2"/>
    <w:rsid w:val="70F5661B"/>
    <w:rsid w:val="70FE283F"/>
    <w:rsid w:val="71125845"/>
    <w:rsid w:val="71357CB6"/>
    <w:rsid w:val="71360107"/>
    <w:rsid w:val="71374018"/>
    <w:rsid w:val="713B688E"/>
    <w:rsid w:val="71456569"/>
    <w:rsid w:val="714A4C8C"/>
    <w:rsid w:val="714E061E"/>
    <w:rsid w:val="716342F2"/>
    <w:rsid w:val="717349D9"/>
    <w:rsid w:val="718C1A9B"/>
    <w:rsid w:val="71A6677C"/>
    <w:rsid w:val="71AF1970"/>
    <w:rsid w:val="71D43752"/>
    <w:rsid w:val="71F1796A"/>
    <w:rsid w:val="7201383B"/>
    <w:rsid w:val="72154626"/>
    <w:rsid w:val="72262B5D"/>
    <w:rsid w:val="72283FF7"/>
    <w:rsid w:val="722E7212"/>
    <w:rsid w:val="7232489D"/>
    <w:rsid w:val="723A0474"/>
    <w:rsid w:val="725923E4"/>
    <w:rsid w:val="7262796D"/>
    <w:rsid w:val="728531A8"/>
    <w:rsid w:val="72864BF7"/>
    <w:rsid w:val="729023FC"/>
    <w:rsid w:val="72A2709C"/>
    <w:rsid w:val="73551D32"/>
    <w:rsid w:val="735A1831"/>
    <w:rsid w:val="73773186"/>
    <w:rsid w:val="73795218"/>
    <w:rsid w:val="73C0646E"/>
    <w:rsid w:val="73CA2030"/>
    <w:rsid w:val="73CB43D1"/>
    <w:rsid w:val="73FE0302"/>
    <w:rsid w:val="742222F5"/>
    <w:rsid w:val="74476126"/>
    <w:rsid w:val="746C7962"/>
    <w:rsid w:val="74706664"/>
    <w:rsid w:val="747F3682"/>
    <w:rsid w:val="74930F19"/>
    <w:rsid w:val="749C4185"/>
    <w:rsid w:val="74AF48D2"/>
    <w:rsid w:val="74BB61F3"/>
    <w:rsid w:val="74ED5B50"/>
    <w:rsid w:val="75067759"/>
    <w:rsid w:val="752B7048"/>
    <w:rsid w:val="752E6DCD"/>
    <w:rsid w:val="7551380D"/>
    <w:rsid w:val="75600BE5"/>
    <w:rsid w:val="7564475C"/>
    <w:rsid w:val="7583797F"/>
    <w:rsid w:val="75917B29"/>
    <w:rsid w:val="75B07D22"/>
    <w:rsid w:val="75B74C0D"/>
    <w:rsid w:val="75C01326"/>
    <w:rsid w:val="75CC1203"/>
    <w:rsid w:val="75D20F1D"/>
    <w:rsid w:val="75DA2C18"/>
    <w:rsid w:val="75DA6B4D"/>
    <w:rsid w:val="75DD4A5B"/>
    <w:rsid w:val="75EE1E63"/>
    <w:rsid w:val="75F54412"/>
    <w:rsid w:val="761D08E0"/>
    <w:rsid w:val="765D347C"/>
    <w:rsid w:val="76607052"/>
    <w:rsid w:val="766755D0"/>
    <w:rsid w:val="76826699"/>
    <w:rsid w:val="76A870A5"/>
    <w:rsid w:val="76C87133"/>
    <w:rsid w:val="76CD08D5"/>
    <w:rsid w:val="76D35A76"/>
    <w:rsid w:val="76DB4B92"/>
    <w:rsid w:val="77052AA4"/>
    <w:rsid w:val="77136511"/>
    <w:rsid w:val="77170059"/>
    <w:rsid w:val="77340A39"/>
    <w:rsid w:val="77351FD0"/>
    <w:rsid w:val="77472422"/>
    <w:rsid w:val="774F0B38"/>
    <w:rsid w:val="776F3A5B"/>
    <w:rsid w:val="777F31F2"/>
    <w:rsid w:val="77B64C0A"/>
    <w:rsid w:val="77C163F0"/>
    <w:rsid w:val="77CD629B"/>
    <w:rsid w:val="77D1700D"/>
    <w:rsid w:val="77E44E04"/>
    <w:rsid w:val="77EC04CC"/>
    <w:rsid w:val="78075902"/>
    <w:rsid w:val="782D12A8"/>
    <w:rsid w:val="786B1CDE"/>
    <w:rsid w:val="78775729"/>
    <w:rsid w:val="78983A98"/>
    <w:rsid w:val="78A42DB0"/>
    <w:rsid w:val="78A656AB"/>
    <w:rsid w:val="78B2245C"/>
    <w:rsid w:val="78B81351"/>
    <w:rsid w:val="78E172CC"/>
    <w:rsid w:val="78EA1D1F"/>
    <w:rsid w:val="7904172F"/>
    <w:rsid w:val="790C1713"/>
    <w:rsid w:val="790F7E27"/>
    <w:rsid w:val="792A231A"/>
    <w:rsid w:val="792E51E6"/>
    <w:rsid w:val="79316829"/>
    <w:rsid w:val="7956298E"/>
    <w:rsid w:val="797E66A9"/>
    <w:rsid w:val="798518A4"/>
    <w:rsid w:val="79A13C0A"/>
    <w:rsid w:val="79A77132"/>
    <w:rsid w:val="79A97383"/>
    <w:rsid w:val="79E27E8B"/>
    <w:rsid w:val="79E47F9A"/>
    <w:rsid w:val="79ED50A1"/>
    <w:rsid w:val="79F850CE"/>
    <w:rsid w:val="79FD443C"/>
    <w:rsid w:val="7A1D1975"/>
    <w:rsid w:val="7A3E5150"/>
    <w:rsid w:val="7A4670D6"/>
    <w:rsid w:val="7A490096"/>
    <w:rsid w:val="7A534B63"/>
    <w:rsid w:val="7A544A99"/>
    <w:rsid w:val="7A615382"/>
    <w:rsid w:val="7A67303B"/>
    <w:rsid w:val="7A707A80"/>
    <w:rsid w:val="7AA80FC8"/>
    <w:rsid w:val="7AAB1D04"/>
    <w:rsid w:val="7ABA4368"/>
    <w:rsid w:val="7AC57DCC"/>
    <w:rsid w:val="7AD05746"/>
    <w:rsid w:val="7B072192"/>
    <w:rsid w:val="7B0B0CDB"/>
    <w:rsid w:val="7B257FFD"/>
    <w:rsid w:val="7B343476"/>
    <w:rsid w:val="7B5A2978"/>
    <w:rsid w:val="7B5A7E4C"/>
    <w:rsid w:val="7B667AF9"/>
    <w:rsid w:val="7B7468F8"/>
    <w:rsid w:val="7BEE0103"/>
    <w:rsid w:val="7C0A0FE4"/>
    <w:rsid w:val="7C216E39"/>
    <w:rsid w:val="7C254906"/>
    <w:rsid w:val="7C37059C"/>
    <w:rsid w:val="7C590818"/>
    <w:rsid w:val="7C7C10F6"/>
    <w:rsid w:val="7C853BEA"/>
    <w:rsid w:val="7C881368"/>
    <w:rsid w:val="7C8820A3"/>
    <w:rsid w:val="7CA103C5"/>
    <w:rsid w:val="7CDC13FD"/>
    <w:rsid w:val="7CE27788"/>
    <w:rsid w:val="7D080444"/>
    <w:rsid w:val="7D0C32F1"/>
    <w:rsid w:val="7D0F408D"/>
    <w:rsid w:val="7D126BCC"/>
    <w:rsid w:val="7D276B1C"/>
    <w:rsid w:val="7D4551F4"/>
    <w:rsid w:val="7D491C6C"/>
    <w:rsid w:val="7D5429C0"/>
    <w:rsid w:val="7D6E6D43"/>
    <w:rsid w:val="7D7710D5"/>
    <w:rsid w:val="7D974B56"/>
    <w:rsid w:val="7DB57A34"/>
    <w:rsid w:val="7DE60973"/>
    <w:rsid w:val="7DE65520"/>
    <w:rsid w:val="7DEF0916"/>
    <w:rsid w:val="7E105802"/>
    <w:rsid w:val="7E1E5218"/>
    <w:rsid w:val="7E2C27CE"/>
    <w:rsid w:val="7E437985"/>
    <w:rsid w:val="7E4C41F6"/>
    <w:rsid w:val="7E5E46CC"/>
    <w:rsid w:val="7E9A4E1F"/>
    <w:rsid w:val="7EA7723A"/>
    <w:rsid w:val="7EC34F75"/>
    <w:rsid w:val="7ECC39DB"/>
    <w:rsid w:val="7ECF1219"/>
    <w:rsid w:val="7ED755DB"/>
    <w:rsid w:val="7EF56FBB"/>
    <w:rsid w:val="7F0768EB"/>
    <w:rsid w:val="7F143BEC"/>
    <w:rsid w:val="7F3215D4"/>
    <w:rsid w:val="7F42147D"/>
    <w:rsid w:val="7F531E4A"/>
    <w:rsid w:val="7F6477A9"/>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0"/>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3"/>
    <w:autoRedefine/>
    <w:qFormat/>
    <w:uiPriority w:val="0"/>
    <w:pPr>
      <w:shd w:val="clear" w:color="auto" w:fill="000080"/>
    </w:pPr>
  </w:style>
  <w:style w:type="paragraph" w:styleId="20">
    <w:name w:val="annotation text"/>
    <w:basedOn w:val="1"/>
    <w:link w:val="344"/>
    <w:autoRedefine/>
    <w:qFormat/>
    <w:uiPriority w:val="99"/>
    <w:pPr>
      <w:jc w:val="left"/>
    </w:pPr>
  </w:style>
  <w:style w:type="paragraph" w:styleId="21">
    <w:name w:val="Salutation"/>
    <w:basedOn w:val="1"/>
    <w:next w:val="1"/>
    <w:link w:val="298"/>
    <w:autoRedefine/>
    <w:qFormat/>
    <w:uiPriority w:val="0"/>
    <w:rPr>
      <w:rFonts w:ascii="仿宋_GB2312" w:eastAsia="仿宋_GB2312"/>
      <w:sz w:val="28"/>
      <w:szCs w:val="20"/>
    </w:rPr>
  </w:style>
  <w:style w:type="paragraph" w:styleId="22">
    <w:name w:val="Body Text 3"/>
    <w:basedOn w:val="1"/>
    <w:link w:val="330"/>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1"/>
    <w:link w:val="321"/>
    <w:autoRedefine/>
    <w:qFormat/>
    <w:uiPriority w:val="0"/>
    <w:pPr>
      <w:ind w:firstLine="420"/>
    </w:pPr>
    <w:rPr>
      <w:rFonts w:hAnsi="Calibri" w:cs="Times New Roman"/>
      <w:snapToGrid/>
      <w:szCs w:val="20"/>
    </w:rPr>
  </w:style>
  <w:style w:type="paragraph" w:styleId="26">
    <w:name w:val="Body Text Indent"/>
    <w:basedOn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6"/>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2"/>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29"/>
    <w:autoRedefine/>
    <w:qFormat/>
    <w:uiPriority w:val="0"/>
    <w:rPr>
      <w:lang w:val="zh-CN"/>
    </w:rPr>
  </w:style>
  <w:style w:type="paragraph" w:styleId="40">
    <w:name w:val="Balloon Text"/>
    <w:basedOn w:val="1"/>
    <w:link w:val="189"/>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next w:val="1"/>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annotation subject"/>
    <w:basedOn w:val="20"/>
    <w:next w:val="20"/>
    <w:link w:val="97"/>
    <w:autoRedefine/>
    <w:qFormat/>
    <w:uiPriority w:val="0"/>
    <w:rPr>
      <w:b/>
      <w:bCs/>
    </w:rPr>
  </w:style>
  <w:style w:type="paragraph" w:styleId="61">
    <w:name w:val="Body Text First Indent 2"/>
    <w:basedOn w:val="26"/>
    <w:link w:val="122"/>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样式3"/>
    <w:basedOn w:val="34"/>
    <w:next w:val="1"/>
    <w:autoRedefine/>
    <w:qFormat/>
    <w:uiPriority w:val="0"/>
    <w:pPr>
      <w:tabs>
        <w:tab w:val="left" w:pos="2790"/>
        <w:tab w:val="left" w:pos="4230"/>
      </w:tabs>
      <w:spacing w:before="312" w:beforeLines="100"/>
      <w:jc w:val="left"/>
    </w:pPr>
  </w:style>
  <w:style w:type="paragraph" w:customStyle="1" w:styleId="8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1">
    <w:name w:val="_Style 3"/>
    <w:basedOn w:val="1"/>
    <w:autoRedefine/>
    <w:qFormat/>
    <w:uiPriority w:val="0"/>
    <w:pPr>
      <w:adjustRightInd/>
      <w:ind w:firstLine="420" w:firstLineChars="200"/>
    </w:pPr>
    <w:rPr>
      <w:rFonts w:eastAsia="仿宋_GB2312"/>
      <w:sz w:val="28"/>
    </w:rPr>
  </w:style>
  <w:style w:type="paragraph" w:styleId="82">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0"/>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1"/>
    <w:autoRedefine/>
    <w:qFormat/>
    <w:uiPriority w:val="0"/>
    <w:rPr>
      <w:rFonts w:ascii="宋体" w:hAnsi="宋体"/>
      <w:kern w:val="2"/>
      <w:sz w:val="21"/>
      <w:szCs w:val="24"/>
    </w:rPr>
  </w:style>
  <w:style w:type="character" w:customStyle="1" w:styleId="123">
    <w:name w:val="font11"/>
    <w:basedOn w:val="69"/>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69"/>
    <w:autoRedefine/>
    <w:qFormat/>
    <w:uiPriority w:val="0"/>
    <w:rPr>
      <w:rFonts w:ascii="Arial" w:hAnsi="Arial" w:eastAsia="黑体" w:cs="Arial"/>
      <w:snapToGrid w:val="0"/>
      <w:kern w:val="0"/>
      <w:szCs w:val="21"/>
    </w:rPr>
  </w:style>
  <w:style w:type="character" w:customStyle="1" w:styleId="126">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8"/>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basedOn w:val="69"/>
    <w:autoRedefine/>
    <w:qFormat/>
    <w:uiPriority w:val="0"/>
    <w:rPr>
      <w:rFonts w:hint="eastAsia" w:ascii="仿宋_GB2312" w:eastAsia="仿宋_GB2312" w:cs="仿宋_GB2312"/>
      <w:color w:val="000000"/>
      <w:sz w:val="22"/>
      <w:szCs w:val="22"/>
      <w:u w:val="none"/>
    </w:rPr>
  </w:style>
  <w:style w:type="character" w:customStyle="1" w:styleId="148">
    <w:name w:val="标题 6 Char"/>
    <w:link w:val="9"/>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4"/>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7"/>
    <w:autoRedefine/>
    <w:qFormat/>
    <w:uiPriority w:val="0"/>
    <w:rPr>
      <w:rFonts w:ascii="宋体"/>
      <w:kern w:val="2"/>
      <w:sz w:val="24"/>
      <w:szCs w:val="21"/>
      <w:lang w:val="zh-CN"/>
    </w:rPr>
  </w:style>
  <w:style w:type="character" w:customStyle="1" w:styleId="183">
    <w:name w:val="标题 9 Char"/>
    <w:link w:val="12"/>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0"/>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0"/>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19"/>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basedOn w:val="69"/>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69"/>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1"/>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7"/>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7"/>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2"/>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2"/>
    <w:autoRedefine/>
    <w:qFormat/>
    <w:uiPriority w:val="10"/>
    <w:rPr>
      <w:b/>
      <w:sz w:val="24"/>
      <w:lang w:val="en-GB"/>
    </w:rPr>
  </w:style>
  <w:style w:type="character" w:customStyle="1" w:styleId="287">
    <w:name w:val="font81"/>
    <w:basedOn w:val="69"/>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8"/>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1"/>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7"/>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10"/>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69"/>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5"/>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7"/>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2"/>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autoRedefine/>
    <w:qFormat/>
    <w:uiPriority w:val="0"/>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basedOn w:val="69"/>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8"/>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6"/>
    <w:next w:val="236"/>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6"/>
    <w:next w:val="236"/>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3"/>
    <w:autoRedefine/>
    <w:qFormat/>
    <w:uiPriority w:val="0"/>
    <w:pPr>
      <w:tabs>
        <w:tab w:val="left" w:pos="840"/>
      </w:tabs>
      <w:adjustRightInd/>
      <w:ind w:left="840" w:hanging="420"/>
    </w:pPr>
  </w:style>
  <w:style w:type="paragraph" w:customStyle="1" w:styleId="623">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8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2"/>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3"/>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9"/>
    <w:autoRedefine/>
    <w:qFormat/>
    <w:uiPriority w:val="0"/>
    <w:rPr>
      <w:kern w:val="2"/>
      <w:sz w:val="21"/>
      <w:szCs w:val="24"/>
      <w:lang w:val="zh-CN"/>
    </w:rPr>
  </w:style>
  <w:style w:type="character" w:customStyle="1" w:styleId="930">
    <w:name w:val="无间隔 Char"/>
    <w:link w:val="481"/>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82"/>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3">
    <w:name w:val="自动更正"/>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WPSOffice手动目录 1"/>
    <w:autoRedefine/>
    <w:qFormat/>
    <w:uiPriority w:val="0"/>
    <w:pPr>
      <w:ind w:leftChars="0"/>
    </w:pPr>
    <w:rPr>
      <w:rFonts w:ascii="Times New Roman" w:hAnsi="Times New Roman" w:eastAsia="宋体" w:cs="Times New Roman"/>
      <w:sz w:val="20"/>
      <w:szCs w:val="20"/>
    </w:rPr>
  </w:style>
  <w:style w:type="paragraph" w:customStyle="1" w:styleId="965">
    <w:name w:val="列表段落"/>
    <w:basedOn w:val="1"/>
    <w:autoRedefine/>
    <w:qFormat/>
    <w:uiPriority w:val="99"/>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966">
    <w:name w:val="Body Text First Indent 21"/>
    <w:basedOn w:val="967"/>
    <w:autoRedefine/>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67">
    <w:name w:val="Body Text Indent1"/>
    <w:basedOn w:val="1"/>
    <w:next w:val="1"/>
    <w:autoRedefine/>
    <w:qFormat/>
    <w:uiPriority w:val="0"/>
    <w:pPr>
      <w:spacing w:after="120" w:afterLines="0"/>
      <w:ind w:left="420" w:leftChars="200"/>
    </w:pPr>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35631</Words>
  <Characters>37747</Characters>
  <Lines>1</Lines>
  <Paragraphs>1</Paragraphs>
  <TotalTime>129</TotalTime>
  <ScaleCrop>false</ScaleCrop>
  <LinksUpToDate>false</LinksUpToDate>
  <CharactersWithSpaces>42741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2024-03-15T02:29:10Z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