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288" w:lineRule="auto"/>
        <w:jc w:val="center"/>
        <w:textAlignment w:val="auto"/>
        <w:rPr>
          <w:rFonts w:hint="default" w:ascii="仿宋" w:hAnsi="仿宋" w:eastAsia="仿宋" w:cs="仿宋"/>
          <w:b/>
          <w:bCs/>
          <w:sz w:val="36"/>
          <w:szCs w:val="36"/>
          <w:u w:val="none"/>
          <w:lang w:val="en-US" w:eastAsia="zh-CN"/>
        </w:rPr>
      </w:pPr>
      <w:r>
        <w:rPr>
          <w:rFonts w:hint="eastAsia" w:ascii="仿宋" w:hAnsi="仿宋" w:eastAsia="仿宋" w:cs="仿宋"/>
          <w:b/>
          <w:bCs/>
          <w:sz w:val="36"/>
          <w:szCs w:val="36"/>
          <w:u w:val="none"/>
          <w:lang w:val="en-US" w:eastAsia="zh-CN"/>
        </w:rPr>
        <w:t xml:space="preserve"> </w:t>
      </w:r>
    </w:p>
    <w:p>
      <w:pPr>
        <w:pageBreakBefore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44"/>
          <w:szCs w:val="44"/>
          <w:u w:val="none"/>
          <w:lang w:eastAsia="zh-CN"/>
        </w:rPr>
      </w:pPr>
      <w:r>
        <w:rPr>
          <w:rFonts w:hint="eastAsia" w:ascii="黑体" w:hAnsi="黑体" w:eastAsia="黑体" w:cs="黑体"/>
          <w:b/>
          <w:bCs/>
          <w:sz w:val="44"/>
          <w:szCs w:val="44"/>
          <w:u w:val="none"/>
          <w:lang w:eastAsia="zh-CN"/>
        </w:rPr>
        <w:t>湘潭开放大学</w:t>
      </w:r>
      <w:r>
        <w:rPr>
          <w:rFonts w:hint="eastAsia" w:ascii="黑体" w:hAnsi="黑体" w:eastAsia="黑体" w:cs="黑体"/>
          <w:b/>
          <w:bCs/>
          <w:sz w:val="44"/>
          <w:szCs w:val="44"/>
          <w:u w:val="none"/>
          <w:lang w:val="en-US" w:eastAsia="zh-CN"/>
        </w:rPr>
        <w:t>2024年灭四害、灭白蚁服务采购项目——竞争性谈判</w:t>
      </w:r>
      <w:r>
        <w:rPr>
          <w:rFonts w:hint="eastAsia" w:ascii="黑体" w:hAnsi="黑体" w:eastAsia="黑体" w:cs="黑体"/>
          <w:b/>
          <w:bCs/>
          <w:sz w:val="44"/>
          <w:szCs w:val="44"/>
          <w:u w:val="none"/>
          <w:lang w:eastAsia="zh-CN"/>
        </w:rPr>
        <w:t>公告</w:t>
      </w:r>
    </w:p>
    <w:p>
      <w:pPr>
        <w:pageBreakBefore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val="0"/>
          <w:bCs w:val="0"/>
          <w:sz w:val="44"/>
          <w:szCs w:val="44"/>
          <w:u w:val="none"/>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湘潭开放大学灭四害、灭白蚁服务采购项目</w:t>
      </w:r>
      <w:r>
        <w:rPr>
          <w:rFonts w:hint="eastAsia" w:ascii="方正仿宋_GB2312" w:hAnsi="方正仿宋_GB2312" w:eastAsia="方正仿宋_GB2312" w:cs="方正仿宋_GB2312"/>
          <w:i w:val="0"/>
          <w:iCs w:val="0"/>
          <w:caps w:val="0"/>
          <w:color w:val="000000"/>
          <w:spacing w:val="0"/>
          <w:sz w:val="32"/>
          <w:szCs w:val="32"/>
        </w:rPr>
        <w:t>的潜在供应商应按照公告规定的方式和实际获取采购文件，并于202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8</w:t>
      </w:r>
      <w:r>
        <w:rPr>
          <w:rFonts w:hint="eastAsia" w:ascii="方正仿宋_GB2312" w:hAnsi="方正仿宋_GB2312" w:eastAsia="方正仿宋_GB2312" w:cs="方正仿宋_GB2312"/>
          <w:i w:val="0"/>
          <w:iCs w:val="0"/>
          <w:caps w:val="0"/>
          <w:color w:val="000000"/>
          <w:spacing w:val="0"/>
          <w:sz w:val="32"/>
          <w:szCs w:val="32"/>
        </w:rPr>
        <w:t>日</w:t>
      </w:r>
      <w:r>
        <w:rPr>
          <w:rFonts w:hint="eastAsia" w:ascii="方正仿宋_GB2312" w:hAnsi="方正仿宋_GB2312" w:eastAsia="方正仿宋_GB2312" w:cs="方正仿宋_GB2312"/>
          <w:i w:val="0"/>
          <w:iCs w:val="0"/>
          <w:caps w:val="0"/>
          <w:color w:val="000000"/>
          <w:spacing w:val="0"/>
          <w:sz w:val="32"/>
          <w:szCs w:val="32"/>
          <w:lang w:val="en-US" w:eastAsia="zh-CN"/>
        </w:rPr>
        <w:t>10</w:t>
      </w:r>
      <w:r>
        <w:rPr>
          <w:rFonts w:hint="eastAsia" w:ascii="方正仿宋_GB2312" w:hAnsi="方正仿宋_GB2312" w:eastAsia="方正仿宋_GB2312" w:cs="方正仿宋_GB2312"/>
          <w:i w:val="0"/>
          <w:iCs w:val="0"/>
          <w:caps w:val="0"/>
          <w:color w:val="000000"/>
          <w:spacing w:val="0"/>
          <w:sz w:val="32"/>
          <w:szCs w:val="32"/>
        </w:rPr>
        <w:t>点（北京时间）前提交响应文件。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b w:val="0"/>
          <w:bCs w:val="0"/>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rPr>
        <w:t>项目名称：</w:t>
      </w: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湘潭开放大学灭四害、灭白蚁服务采购项目；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default"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rPr>
        <w:t>采购方式：</w:t>
      </w:r>
      <w:r>
        <w:rPr>
          <w:rFonts w:hint="eastAsia" w:ascii="方正仿宋_GB2312" w:hAnsi="方正仿宋_GB2312" w:eastAsia="方正仿宋_GB2312" w:cs="方正仿宋_GB2312"/>
          <w:i w:val="0"/>
          <w:iCs w:val="0"/>
          <w:caps w:val="0"/>
          <w:color w:val="000000"/>
          <w:spacing w:val="0"/>
          <w:sz w:val="32"/>
          <w:szCs w:val="32"/>
          <w:lang w:val="en-US" w:eastAsia="zh-CN"/>
        </w:rPr>
        <w:t>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3</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预算金额（元）：</w:t>
      </w:r>
    </w:p>
    <w:tbl>
      <w:tblPr>
        <w:tblStyle w:val="7"/>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224"/>
        <w:gridCol w:w="1710"/>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9" w:hRule="atLeast"/>
          <w:tblCellSpacing w:w="0" w:type="dxa"/>
          <w:jc w:val="center"/>
        </w:trPr>
        <w:tc>
          <w:tcPr>
            <w:tcW w:w="3224" w:type="dxa"/>
            <w:tcBorders>
              <w:top w:val="single" w:color="auto" w:sz="6" w:space="0"/>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项目名称</w:t>
            </w:r>
          </w:p>
        </w:tc>
        <w:tc>
          <w:tcPr>
            <w:tcW w:w="171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预算金额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(元)</w:t>
            </w:r>
          </w:p>
        </w:tc>
        <w:tc>
          <w:tcPr>
            <w:tcW w:w="218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最高限价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34" w:hRule="atLeast"/>
          <w:tblCellSpacing w:w="0" w:type="dxa"/>
          <w:jc w:val="center"/>
        </w:trPr>
        <w:tc>
          <w:tcPr>
            <w:tcW w:w="3224" w:type="dxa"/>
            <w:tcBorders>
              <w:top w:val="nil"/>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湘潭开放大学灭四害、灭白蚁服务采购项目</w:t>
            </w:r>
          </w:p>
        </w:tc>
        <w:tc>
          <w:tcPr>
            <w:tcW w:w="17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cente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32000</w:t>
            </w:r>
          </w:p>
        </w:tc>
        <w:tc>
          <w:tcPr>
            <w:tcW w:w="21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cente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32000</w:t>
            </w:r>
          </w:p>
        </w:tc>
      </w:tr>
    </w:tbl>
    <w:tbl>
      <w:tblPr>
        <w:tblStyle w:val="8"/>
        <w:tblpPr w:leftFromText="180" w:rightFromText="180" w:vertAnchor="text" w:tblpX="10214" w:tblpY="-19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23" w:type="dxa"/>
          </w:tcPr>
          <w:p>
            <w:pPr>
              <w:pStyle w:val="5"/>
              <w:keepNext w:val="0"/>
              <w:keepLines w:val="0"/>
              <w:widowControl/>
              <w:suppressLineNumbers w:val="0"/>
              <w:spacing w:before="0" w:beforeAutospacing="0" w:after="0" w:afterAutospacing="0" w:line="338" w:lineRule="atLeast"/>
              <w:ind w:right="0"/>
              <w:rPr>
                <w:rFonts w:hint="eastAsia" w:ascii="方正仿宋_GB2312" w:hAnsi="方正仿宋_GB2312" w:eastAsia="方正仿宋_GB2312" w:cs="方正仿宋_GB2312"/>
                <w:i w:val="0"/>
                <w:iCs w:val="0"/>
                <w:caps w:val="0"/>
                <w:color w:val="000000"/>
                <w:spacing w:val="0"/>
                <w:sz w:val="32"/>
                <w:szCs w:val="32"/>
                <w:vertAlign w:val="baseli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480" w:right="0" w:firstLine="42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标段划分：1个包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right="0" w:firstLine="960" w:firstLineChars="30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val="en-US" w:eastAsia="zh-CN"/>
        </w:rPr>
        <w:t>2、采购</w:t>
      </w:r>
      <w:r>
        <w:rPr>
          <w:rFonts w:hint="eastAsia" w:ascii="方正仿宋_GB2312" w:hAnsi="方正仿宋_GB2312" w:eastAsia="方正仿宋_GB2312" w:cs="方正仿宋_GB2312"/>
          <w:i w:val="0"/>
          <w:iCs w:val="0"/>
          <w:caps w:val="0"/>
          <w:color w:val="000000"/>
          <w:spacing w:val="0"/>
          <w:sz w:val="32"/>
          <w:szCs w:val="32"/>
        </w:rPr>
        <w:t>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80"/>
        <w:jc w:val="center"/>
        <w:rPr>
          <w:rStyle w:val="10"/>
          <w:rFonts w:hint="eastAsia" w:ascii="方正仿宋_GB2312" w:hAnsi="方正仿宋_GB2312" w:eastAsia="方正仿宋_GB2312" w:cs="方正仿宋_GB2312"/>
          <w:i w:val="0"/>
          <w:iCs w:val="0"/>
          <w:caps w:val="0"/>
          <w:color w:val="000000"/>
          <w:spacing w:val="0"/>
          <w:sz w:val="32"/>
          <w:szCs w:val="32"/>
          <w:lang w:val="en-US" w:eastAsia="zh-CN"/>
        </w:rPr>
      </w:pPr>
    </w:p>
    <w:tbl>
      <w:tblPr>
        <w:tblStyle w:val="7"/>
        <w:tblW w:w="828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071"/>
        <w:gridCol w:w="1074"/>
        <w:gridCol w:w="297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5" w:hRule="atLeast"/>
        </w:trPr>
        <w:tc>
          <w:tcPr>
            <w:tcW w:w="1223" w:type="dxa"/>
            <w:vMerge w:val="restart"/>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序号</w:t>
            </w:r>
          </w:p>
        </w:tc>
        <w:tc>
          <w:tcPr>
            <w:tcW w:w="1071" w:type="dxa"/>
            <w:vMerge w:val="restart"/>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项目名称</w:t>
            </w:r>
          </w:p>
        </w:tc>
        <w:tc>
          <w:tcPr>
            <w:tcW w:w="5988" w:type="dxa"/>
            <w:gridSpan w:val="3"/>
            <w:noWrap w:val="0"/>
            <w:vAlign w:val="center"/>
          </w:tcPr>
          <w:p>
            <w:pPr>
              <w:spacing w:line="500" w:lineRule="exact"/>
              <w:jc w:val="center"/>
              <w:rPr>
                <w:rFonts w:hint="eastAsia"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223" w:type="dxa"/>
            <w:vMerge w:val="continue"/>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p>
        </w:tc>
        <w:tc>
          <w:tcPr>
            <w:tcW w:w="1071" w:type="dxa"/>
            <w:vMerge w:val="continue"/>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p>
        </w:tc>
        <w:tc>
          <w:tcPr>
            <w:tcW w:w="1074" w:type="dxa"/>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消杀种类</w:t>
            </w:r>
          </w:p>
        </w:tc>
        <w:tc>
          <w:tcPr>
            <w:tcW w:w="2970" w:type="dxa"/>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消杀范围（分布区域）</w:t>
            </w:r>
          </w:p>
        </w:tc>
        <w:tc>
          <w:tcPr>
            <w:tcW w:w="1944" w:type="dxa"/>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消杀频次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1223" w:type="dxa"/>
            <w:vMerge w:val="restart"/>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1</w:t>
            </w:r>
          </w:p>
        </w:tc>
        <w:tc>
          <w:tcPr>
            <w:tcW w:w="1071" w:type="dxa"/>
            <w:vMerge w:val="restart"/>
            <w:noWrap w:val="0"/>
            <w:vAlign w:val="center"/>
          </w:tcPr>
          <w:p>
            <w:pPr>
              <w:spacing w:line="500" w:lineRule="exact"/>
              <w:jc w:val="center"/>
              <w:rPr>
                <w:rFonts w:hint="eastAsia" w:ascii="方正仿宋_GB2312" w:hAnsi="方正仿宋_GB2312" w:eastAsia="方正仿宋_GB2312" w:cs="方正仿宋_GB2312"/>
                <w:color w:val="FF0000"/>
                <w:sz w:val="32"/>
                <w:szCs w:val="32"/>
                <w:lang w:val="en-US" w:eastAsia="zh-CN"/>
              </w:rPr>
            </w:pPr>
            <w:r>
              <w:rPr>
                <w:rFonts w:hint="eastAsia" w:ascii="方正仿宋_GB2312" w:hAnsi="方正仿宋_GB2312" w:eastAsia="方正仿宋_GB2312" w:cs="方正仿宋_GB2312"/>
                <w:color w:val="FF0000"/>
                <w:sz w:val="32"/>
                <w:szCs w:val="32"/>
                <w:lang w:val="en-US" w:eastAsia="zh-CN"/>
              </w:rPr>
              <w:t>湘潭开放大学灭四害灭白蚁服务</w:t>
            </w:r>
          </w:p>
        </w:tc>
        <w:tc>
          <w:tcPr>
            <w:tcW w:w="1074" w:type="dxa"/>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蚊、蝇、蟑、鼠、蛇</w:t>
            </w:r>
          </w:p>
        </w:tc>
        <w:tc>
          <w:tcPr>
            <w:tcW w:w="2970" w:type="dxa"/>
            <w:noWrap w:val="0"/>
            <w:vAlign w:val="center"/>
          </w:tcPr>
          <w:p>
            <w:pPr>
              <w:spacing w:line="500" w:lineRule="exact"/>
              <w:jc w:val="center"/>
              <w:rPr>
                <w:rFonts w:hint="eastAsia" w:ascii="方正仿宋_GB2312" w:hAnsi="方正仿宋_GB2312" w:eastAsia="方正仿宋_GB2312" w:cs="方正仿宋_GB2312"/>
                <w:color w:val="FF0000"/>
                <w:sz w:val="32"/>
                <w:szCs w:val="32"/>
                <w:lang w:val="en-US"/>
              </w:rPr>
            </w:pPr>
            <w:r>
              <w:rPr>
                <w:rFonts w:hint="eastAsia" w:ascii="方正仿宋_GB2312" w:hAnsi="方正仿宋_GB2312" w:eastAsia="方正仿宋_GB2312" w:cs="方正仿宋_GB2312"/>
                <w:color w:val="FF0000"/>
                <w:sz w:val="32"/>
                <w:szCs w:val="32"/>
                <w:lang w:val="en-US" w:eastAsia="zh-CN"/>
              </w:rPr>
              <w:t>校园范围内</w:t>
            </w:r>
          </w:p>
        </w:tc>
        <w:tc>
          <w:tcPr>
            <w:tcW w:w="1944" w:type="dxa"/>
            <w:noWrap w:val="0"/>
            <w:vAlign w:val="center"/>
          </w:tcPr>
          <w:p>
            <w:pPr>
              <w:spacing w:line="500" w:lineRule="exact"/>
              <w:jc w:val="center"/>
              <w:rPr>
                <w:rFonts w:hint="eastAsia" w:ascii="方正仿宋_GB2312" w:hAnsi="方正仿宋_GB2312" w:eastAsia="方正仿宋_GB2312" w:cs="方正仿宋_GB2312"/>
                <w:color w:val="FF0000"/>
                <w:sz w:val="32"/>
                <w:szCs w:val="32"/>
                <w:lang w:val="en-US" w:eastAsia="zh-CN"/>
              </w:rPr>
            </w:pPr>
            <w:r>
              <w:rPr>
                <w:rFonts w:hint="eastAsia" w:ascii="方正仿宋_GB2312" w:hAnsi="方正仿宋_GB2312" w:eastAsia="方正仿宋_GB2312" w:cs="方正仿宋_GB2312"/>
                <w:color w:val="FF0000"/>
                <w:sz w:val="32"/>
                <w:szCs w:val="32"/>
                <w:lang w:val="zh-CN"/>
              </w:rPr>
              <w:t>每月</w:t>
            </w:r>
            <w:r>
              <w:rPr>
                <w:rFonts w:hint="eastAsia" w:ascii="方正仿宋_GB2312" w:hAnsi="方正仿宋_GB2312" w:eastAsia="方正仿宋_GB2312" w:cs="方正仿宋_GB2312"/>
                <w:color w:val="FF0000"/>
                <w:sz w:val="32"/>
                <w:szCs w:val="32"/>
                <w:lang w:val="en-US" w:eastAsia="zh-CN"/>
              </w:rPr>
              <w:t>1</w:t>
            </w:r>
            <w:r>
              <w:rPr>
                <w:rFonts w:hint="eastAsia" w:ascii="方正仿宋_GB2312" w:hAnsi="方正仿宋_GB2312" w:eastAsia="方正仿宋_GB2312" w:cs="方正仿宋_GB2312"/>
                <w:color w:val="FF0000"/>
                <w:sz w:val="32"/>
                <w:szCs w:val="32"/>
                <w:lang w:val="zh-CN"/>
              </w:rPr>
              <w:t>次；</w:t>
            </w:r>
            <w:r>
              <w:rPr>
                <w:rFonts w:hint="eastAsia" w:ascii="方正仿宋_GB2312" w:hAnsi="方正仿宋_GB2312" w:eastAsia="方正仿宋_GB2312" w:cs="方正仿宋_GB2312"/>
                <w:color w:val="FF0000"/>
                <w:sz w:val="32"/>
                <w:szCs w:val="32"/>
                <w:lang w:val="en-US" w:eastAsia="zh-CN"/>
              </w:rPr>
              <w:t>平时发现特殊情况，及时上门服务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1223" w:type="dxa"/>
            <w:vMerge w:val="continue"/>
            <w:noWrap w:val="0"/>
            <w:vAlign w:val="center"/>
          </w:tcPr>
          <w:p>
            <w:pPr>
              <w:spacing w:line="500" w:lineRule="exact"/>
              <w:rPr>
                <w:rFonts w:hint="eastAsia" w:ascii="方正仿宋_GB2312" w:hAnsi="方正仿宋_GB2312" w:eastAsia="方正仿宋_GB2312" w:cs="方正仿宋_GB2312"/>
                <w:color w:val="000000"/>
                <w:sz w:val="32"/>
                <w:szCs w:val="32"/>
                <w:lang w:val="zh-CN"/>
              </w:rPr>
            </w:pPr>
          </w:p>
        </w:tc>
        <w:tc>
          <w:tcPr>
            <w:tcW w:w="1071" w:type="dxa"/>
            <w:vMerge w:val="continue"/>
            <w:noWrap w:val="0"/>
            <w:vAlign w:val="center"/>
          </w:tcPr>
          <w:p>
            <w:pPr>
              <w:spacing w:line="500" w:lineRule="exact"/>
              <w:rPr>
                <w:rFonts w:hint="eastAsia" w:ascii="方正仿宋_GB2312" w:hAnsi="方正仿宋_GB2312" w:eastAsia="方正仿宋_GB2312" w:cs="方正仿宋_GB2312"/>
                <w:color w:val="000000"/>
                <w:sz w:val="32"/>
                <w:szCs w:val="32"/>
                <w:lang w:val="zh-CN"/>
              </w:rPr>
            </w:pPr>
          </w:p>
        </w:tc>
        <w:tc>
          <w:tcPr>
            <w:tcW w:w="1074" w:type="dxa"/>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r>
              <w:rPr>
                <w:rFonts w:hint="eastAsia" w:ascii="方正仿宋_GB2312" w:hAnsi="方正仿宋_GB2312" w:eastAsia="方正仿宋_GB2312" w:cs="方正仿宋_GB2312"/>
                <w:color w:val="000000"/>
                <w:sz w:val="32"/>
                <w:szCs w:val="32"/>
                <w:lang w:val="zh-CN"/>
              </w:rPr>
              <w:t>白蚁</w:t>
            </w:r>
          </w:p>
        </w:tc>
        <w:tc>
          <w:tcPr>
            <w:tcW w:w="2970" w:type="dxa"/>
            <w:noWrap w:val="0"/>
            <w:vAlign w:val="center"/>
          </w:tcPr>
          <w:p>
            <w:pPr>
              <w:spacing w:line="500" w:lineRule="exact"/>
              <w:jc w:val="center"/>
              <w:rPr>
                <w:rFonts w:hint="eastAsia" w:ascii="方正仿宋_GB2312" w:hAnsi="方正仿宋_GB2312" w:eastAsia="方正仿宋_GB2312" w:cs="方正仿宋_GB2312"/>
                <w:color w:val="FF0000"/>
                <w:sz w:val="32"/>
                <w:szCs w:val="32"/>
                <w:lang w:val="en-US" w:eastAsia="zh-CN"/>
              </w:rPr>
            </w:pPr>
            <w:r>
              <w:rPr>
                <w:rFonts w:hint="eastAsia" w:ascii="方正仿宋_GB2312" w:hAnsi="方正仿宋_GB2312" w:eastAsia="方正仿宋_GB2312" w:cs="方正仿宋_GB2312"/>
                <w:color w:val="FF0000"/>
                <w:sz w:val="32"/>
                <w:szCs w:val="32"/>
                <w:lang w:val="en-US" w:eastAsia="zh-CN"/>
              </w:rPr>
              <w:t>校园范围内</w:t>
            </w:r>
          </w:p>
        </w:tc>
        <w:tc>
          <w:tcPr>
            <w:tcW w:w="1944" w:type="dxa"/>
            <w:noWrap w:val="0"/>
            <w:vAlign w:val="center"/>
          </w:tcPr>
          <w:p>
            <w:pPr>
              <w:spacing w:line="500" w:lineRule="exact"/>
              <w:jc w:val="center"/>
              <w:rPr>
                <w:rFonts w:hint="eastAsia" w:ascii="方正仿宋_GB2312" w:hAnsi="方正仿宋_GB2312" w:eastAsia="方正仿宋_GB2312" w:cs="方正仿宋_GB2312"/>
                <w:color w:val="FF0000"/>
                <w:sz w:val="32"/>
                <w:szCs w:val="32"/>
                <w:lang w:val="zh-CN"/>
              </w:rPr>
            </w:pPr>
            <w:r>
              <w:rPr>
                <w:rFonts w:hint="eastAsia" w:ascii="方正仿宋_GB2312" w:hAnsi="方正仿宋_GB2312" w:eastAsia="方正仿宋_GB2312" w:cs="方正仿宋_GB2312"/>
                <w:color w:val="FF0000"/>
                <w:sz w:val="32"/>
                <w:szCs w:val="32"/>
                <w:lang w:val="zh-CN"/>
              </w:rPr>
              <w:t>每年两次，</w:t>
            </w:r>
            <w:r>
              <w:rPr>
                <w:rFonts w:hint="eastAsia" w:ascii="方正仿宋_GB2312" w:hAnsi="方正仿宋_GB2312" w:eastAsia="方正仿宋_GB2312" w:cs="方正仿宋_GB2312"/>
                <w:color w:val="FF0000"/>
                <w:sz w:val="32"/>
                <w:szCs w:val="32"/>
                <w:lang w:val="en-US" w:eastAsia="zh-CN"/>
              </w:rPr>
              <w:t>平时发现特殊情况，及时上门服务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23" w:type="dxa"/>
            <w:vMerge w:val="continue"/>
            <w:noWrap w:val="0"/>
            <w:vAlign w:val="center"/>
          </w:tcPr>
          <w:p>
            <w:pPr>
              <w:spacing w:line="500" w:lineRule="exact"/>
              <w:rPr>
                <w:rFonts w:hint="eastAsia" w:ascii="方正仿宋_GB2312" w:hAnsi="方正仿宋_GB2312" w:eastAsia="方正仿宋_GB2312" w:cs="方正仿宋_GB2312"/>
                <w:color w:val="000000"/>
                <w:sz w:val="32"/>
                <w:szCs w:val="32"/>
                <w:lang w:val="zh-CN"/>
              </w:rPr>
            </w:pPr>
          </w:p>
        </w:tc>
        <w:tc>
          <w:tcPr>
            <w:tcW w:w="1071" w:type="dxa"/>
            <w:vMerge w:val="continue"/>
            <w:noWrap w:val="0"/>
            <w:vAlign w:val="center"/>
          </w:tcPr>
          <w:p>
            <w:pPr>
              <w:spacing w:line="500" w:lineRule="exact"/>
              <w:rPr>
                <w:rFonts w:hint="eastAsia" w:ascii="方正仿宋_GB2312" w:hAnsi="方正仿宋_GB2312" w:eastAsia="方正仿宋_GB2312" w:cs="方正仿宋_GB2312"/>
                <w:color w:val="FF0000"/>
                <w:sz w:val="32"/>
                <w:szCs w:val="32"/>
                <w:lang w:val="zh-CN"/>
              </w:rPr>
            </w:pPr>
          </w:p>
        </w:tc>
        <w:tc>
          <w:tcPr>
            <w:tcW w:w="1074" w:type="dxa"/>
            <w:noWrap w:val="0"/>
            <w:vAlign w:val="center"/>
          </w:tcPr>
          <w:p>
            <w:pPr>
              <w:spacing w:line="500" w:lineRule="exact"/>
              <w:jc w:val="center"/>
              <w:rPr>
                <w:rFonts w:hint="eastAsia" w:ascii="方正仿宋_GB2312" w:hAnsi="方正仿宋_GB2312" w:eastAsia="方正仿宋_GB2312" w:cs="方正仿宋_GB2312"/>
                <w:color w:val="000000"/>
                <w:sz w:val="32"/>
                <w:szCs w:val="32"/>
                <w:lang w:val="zh-CN"/>
              </w:rPr>
            </w:pPr>
          </w:p>
        </w:tc>
        <w:tc>
          <w:tcPr>
            <w:tcW w:w="2970" w:type="dxa"/>
            <w:noWrap w:val="0"/>
            <w:vAlign w:val="center"/>
          </w:tcPr>
          <w:p>
            <w:pPr>
              <w:spacing w:line="500" w:lineRule="exact"/>
              <w:jc w:val="center"/>
              <w:rPr>
                <w:rFonts w:hint="eastAsia" w:ascii="方正仿宋_GB2312" w:hAnsi="方正仿宋_GB2312" w:eastAsia="方正仿宋_GB2312" w:cs="方正仿宋_GB2312"/>
                <w:color w:val="FF0000"/>
                <w:sz w:val="32"/>
                <w:szCs w:val="32"/>
                <w:lang w:val="zh-CN"/>
              </w:rPr>
            </w:pPr>
          </w:p>
        </w:tc>
        <w:tc>
          <w:tcPr>
            <w:tcW w:w="1944" w:type="dxa"/>
            <w:noWrap w:val="0"/>
            <w:vAlign w:val="center"/>
          </w:tcPr>
          <w:p>
            <w:pPr>
              <w:spacing w:line="500" w:lineRule="exact"/>
              <w:jc w:val="center"/>
              <w:rPr>
                <w:rFonts w:hint="eastAsia" w:ascii="方正仿宋_GB2312" w:hAnsi="方正仿宋_GB2312" w:eastAsia="方正仿宋_GB2312" w:cs="方正仿宋_GB2312"/>
                <w:color w:val="FF0000"/>
                <w:sz w:val="32"/>
                <w:szCs w:val="32"/>
                <w:lang w:val="zh-CN"/>
              </w:rPr>
            </w:pPr>
          </w:p>
        </w:tc>
      </w:tr>
    </w:tbl>
    <w:p>
      <w:pPr>
        <w:bidi w:val="0"/>
        <w:spacing w:line="500" w:lineRule="exac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由承包方提供消杀防治工具器械、药品、服务人员等，对承包范围区域的蚊、蝇、蟑、鼠、蛇四害及白蚁进行消杀防治服务。具体消杀时间、消杀方式以项目需求为准。</w:t>
      </w:r>
    </w:p>
    <w:p>
      <w:pPr>
        <w:tabs>
          <w:tab w:val="left" w:pos="420"/>
          <w:tab w:val="left" w:pos="674"/>
        </w:tabs>
        <w:bidi w:val="0"/>
        <w:spacing w:line="500" w:lineRule="exact"/>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val="0"/>
          <w:sz w:val="32"/>
          <w:szCs w:val="32"/>
        </w:rPr>
        <w:t>技术要求</w:t>
      </w:r>
      <w:r>
        <w:rPr>
          <w:rFonts w:hint="eastAsia" w:ascii="方正仿宋_GB2312" w:hAnsi="方正仿宋_GB2312" w:eastAsia="方正仿宋_GB2312" w:cs="方正仿宋_GB2312"/>
          <w:b w:val="0"/>
          <w:sz w:val="32"/>
          <w:szCs w:val="32"/>
          <w:lang w:eastAsia="zh-CN"/>
        </w:rPr>
        <w:t>：</w:t>
      </w:r>
    </w:p>
    <w:p>
      <w:pPr>
        <w:bidi w:val="0"/>
        <w:spacing w:line="500" w:lineRule="exac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验收的依据和标准：以</w:t>
      </w:r>
      <w:r>
        <w:rPr>
          <w:rFonts w:hint="eastAsia" w:ascii="方正仿宋_GB2312" w:hAnsi="方正仿宋_GB2312" w:eastAsia="方正仿宋_GB2312" w:cs="方正仿宋_GB2312"/>
          <w:sz w:val="32"/>
          <w:szCs w:val="32"/>
          <w:lang w:val="en-US" w:eastAsia="zh-CN"/>
        </w:rPr>
        <w:t>上级单位最新</w:t>
      </w:r>
      <w:r>
        <w:rPr>
          <w:rFonts w:hint="eastAsia" w:ascii="方正仿宋_GB2312" w:hAnsi="方正仿宋_GB2312" w:eastAsia="方正仿宋_GB2312" w:cs="方正仿宋_GB2312"/>
          <w:sz w:val="32"/>
          <w:szCs w:val="32"/>
        </w:rPr>
        <w:t>《鼠、蚊、蝇、蟑螂控制标准》</w:t>
      </w:r>
      <w:r>
        <w:rPr>
          <w:rFonts w:hint="eastAsia" w:ascii="方正仿宋_GB2312" w:hAnsi="方正仿宋_GB2312" w:eastAsia="方正仿宋_GB2312" w:cs="方正仿宋_GB2312"/>
          <w:sz w:val="32"/>
          <w:szCs w:val="32"/>
          <w:lang w:val="en-US" w:eastAsia="zh-CN"/>
        </w:rPr>
        <w:t>文件</w:t>
      </w:r>
      <w:r>
        <w:rPr>
          <w:rFonts w:hint="eastAsia" w:ascii="方正仿宋_GB2312" w:hAnsi="方正仿宋_GB2312" w:eastAsia="方正仿宋_GB2312" w:cs="方正仿宋_GB2312"/>
          <w:sz w:val="32"/>
          <w:szCs w:val="32"/>
        </w:rPr>
        <w:t>为控制及验收标准。</w:t>
      </w:r>
    </w:p>
    <w:p>
      <w:pPr>
        <w:bidi w:val="0"/>
        <w:spacing w:line="500" w:lineRule="exac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投标单位采购的药品要求必须环保，室内、室外用药要分开，有国家相关“三证”（农药登记证、生产许可证、质量合格证），主要用药必须符合本次招标的要求并经招标单位现场验收合格后方可使用。</w:t>
      </w:r>
    </w:p>
    <w:p>
      <w:pPr>
        <w:bidi w:val="0"/>
        <w:spacing w:line="500" w:lineRule="exact"/>
        <w:ind w:firstLine="640" w:firstLineChars="200"/>
        <w:rPr>
          <w:rFonts w:hint="eastAsia" w:ascii="方正仿宋_GB2312" w:hAnsi="方正仿宋_GB2312" w:eastAsia="方正仿宋_GB2312" w:cs="方正仿宋_GB2312"/>
          <w:sz w:val="32"/>
          <w:szCs w:val="32"/>
        </w:rPr>
      </w:pPr>
      <w:bookmarkStart w:id="0" w:name="_GoBack"/>
      <w:bookmarkEnd w:id="0"/>
      <w:r>
        <w:rPr>
          <w:rFonts w:hint="eastAsia" w:ascii="方正仿宋_GB2312" w:hAnsi="方正仿宋_GB2312" w:eastAsia="方正仿宋_GB2312" w:cs="方正仿宋_GB2312"/>
          <w:sz w:val="32"/>
          <w:szCs w:val="32"/>
        </w:rPr>
        <w:t>投标单位须科学用药、安全施药，不能破坏防治区域内的生态平衡。如药物对业主的人身安全造成影响，或在消杀范围内造成公害，所产生的责任后果概由投标单位承担。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用药未经招标单位验收或消杀未达到验收标准，造成返工及另行购料所引起的一切费用，由投标单位承担，对招标单位造成损失的，投标单位应予以赔偿。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right="0" w:firstLine="640" w:firstLineChars="200"/>
        <w:jc w:val="both"/>
        <w:textAlignment w:val="auto"/>
        <w:rPr>
          <w:rStyle w:val="10"/>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b w:val="0"/>
          <w:sz w:val="32"/>
          <w:szCs w:val="32"/>
          <w:lang w:val="en-US" w:eastAsia="zh-CN"/>
        </w:rPr>
        <w:t>本次招标采购服务期为一年。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right="0" w:firstLine="640" w:firstLineChars="200"/>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val="en-US" w:eastAsia="zh-CN"/>
        </w:rPr>
        <w:t>3、</w:t>
      </w:r>
      <w:r>
        <w:rPr>
          <w:rFonts w:hint="eastAsia" w:ascii="方正仿宋_GB2312" w:hAnsi="方正仿宋_GB2312" w:eastAsia="方正仿宋_GB2312" w:cs="方正仿宋_GB2312"/>
          <w:i w:val="0"/>
          <w:iCs w:val="0"/>
          <w:caps w:val="0"/>
          <w:color w:val="000000"/>
          <w:spacing w:val="0"/>
          <w:sz w:val="32"/>
          <w:szCs w:val="32"/>
        </w:rPr>
        <w:t>质量要求：符合国家、行业及地区现行相关规范和标准。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480"/>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本项目是否接受联合体：否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（2）具备上述采购物品清单的经营许可的工商营业执照。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（3）落实政府采购政策需满足的资格要求。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4）根据《关于在政府采购活动中查询及使用信用记录有关问题的通知》(财库[2016]125号)的规定，采购人通过“信用中国”网（www.creditchina.gov.cn）、“中国执行信息公开网”网站（zxgk.court.gov.cn）和中国政府采购网（www.ccgp.gov.cn）查询企业的信用记录，列入“中国执行信息公开网”网站的“失信被执行人”、“信用中国”网站的“重大税收违法失信主体”和“中国政府采购网”网站的“政府采购严重违法失信行为记录名单”及其他不符合《中华人民共和国政府采购法》第二十二条规定条件的供应商，将拒绝参与本次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default" w:ascii="方正仿宋_GB2312" w:hAnsi="方正仿宋_GB2312" w:eastAsia="方正仿宋_GB2312" w:cs="方正仿宋_GB2312"/>
          <w:b/>
          <w:bCs/>
          <w:i w:val="0"/>
          <w:iCs w:val="0"/>
          <w:caps w:val="0"/>
          <w:color w:val="000000"/>
          <w:spacing w:val="0"/>
          <w:sz w:val="32"/>
          <w:szCs w:val="32"/>
          <w:lang w:val="en-US" w:eastAsia="zh-CN"/>
        </w:rPr>
      </w:pPr>
      <w:r>
        <w:rPr>
          <w:rFonts w:hint="eastAsia" w:ascii="方正仿宋_GB2312" w:hAnsi="方正仿宋_GB2312" w:eastAsia="方正仿宋_GB2312" w:cs="方正仿宋_GB2312"/>
          <w:b/>
          <w:bCs/>
          <w:i w:val="0"/>
          <w:iCs w:val="0"/>
          <w:caps w:val="0"/>
          <w:color w:val="000000"/>
          <w:spacing w:val="0"/>
          <w:sz w:val="32"/>
          <w:szCs w:val="32"/>
        </w:rPr>
        <w:t>三、</w:t>
      </w:r>
      <w:r>
        <w:rPr>
          <w:rFonts w:hint="eastAsia" w:ascii="方正仿宋_GB2312" w:hAnsi="方正仿宋_GB2312" w:eastAsia="方正仿宋_GB2312" w:cs="方正仿宋_GB2312"/>
          <w:b/>
          <w:bCs/>
          <w:i w:val="0"/>
          <w:iCs w:val="0"/>
          <w:caps w:val="0"/>
          <w:color w:val="000000"/>
          <w:spacing w:val="0"/>
          <w:sz w:val="32"/>
          <w:szCs w:val="32"/>
          <w:lang w:val="en-US" w:eastAsia="zh-CN"/>
        </w:rPr>
        <w:t>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时间：202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rPr>
        <w:t>日至202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8</w:t>
      </w:r>
      <w:r>
        <w:rPr>
          <w:rFonts w:hint="eastAsia" w:ascii="方正仿宋_GB2312" w:hAnsi="方正仿宋_GB2312" w:eastAsia="方正仿宋_GB2312" w:cs="方正仿宋_GB2312"/>
          <w:i w:val="0"/>
          <w:iCs w:val="0"/>
          <w:caps w:val="0"/>
          <w:color w:val="000000"/>
          <w:spacing w:val="0"/>
          <w:sz w:val="32"/>
          <w:szCs w:val="32"/>
        </w:rPr>
        <w:t>日。每天上午8：00时到12：00时，下午14:</w:t>
      </w:r>
      <w:r>
        <w:rPr>
          <w:rFonts w:hint="eastAsia" w:ascii="方正仿宋_GB2312" w:hAnsi="方正仿宋_GB2312" w:eastAsia="方正仿宋_GB2312" w:cs="方正仿宋_GB2312"/>
          <w:i w:val="0"/>
          <w:iCs w:val="0"/>
          <w:caps w:val="0"/>
          <w:color w:val="000000"/>
          <w:spacing w:val="0"/>
          <w:sz w:val="32"/>
          <w:szCs w:val="32"/>
          <w:lang w:val="en-US" w:eastAsia="zh-CN"/>
        </w:rPr>
        <w:t>00</w:t>
      </w:r>
      <w:r>
        <w:rPr>
          <w:rFonts w:hint="eastAsia" w:ascii="方正仿宋_GB2312" w:hAnsi="方正仿宋_GB2312" w:eastAsia="方正仿宋_GB2312" w:cs="方正仿宋_GB2312"/>
          <w:i w:val="0"/>
          <w:iCs w:val="0"/>
          <w:caps w:val="0"/>
          <w:color w:val="000000"/>
          <w:spacing w:val="0"/>
          <w:sz w:val="32"/>
          <w:szCs w:val="32"/>
        </w:rPr>
        <w:t>时到17:</w:t>
      </w:r>
      <w:r>
        <w:rPr>
          <w:rFonts w:hint="eastAsia" w:ascii="方正仿宋_GB2312" w:hAnsi="方正仿宋_GB2312" w:eastAsia="方正仿宋_GB2312" w:cs="方正仿宋_GB2312"/>
          <w:i w:val="0"/>
          <w:iCs w:val="0"/>
          <w:caps w:val="0"/>
          <w:color w:val="000000"/>
          <w:spacing w:val="0"/>
          <w:sz w:val="32"/>
          <w:szCs w:val="32"/>
          <w:lang w:val="en-US" w:eastAsia="zh-CN"/>
        </w:rPr>
        <w:t>00</w:t>
      </w:r>
      <w:r>
        <w:rPr>
          <w:rFonts w:hint="eastAsia" w:ascii="方正仿宋_GB2312" w:hAnsi="方正仿宋_GB2312" w:eastAsia="方正仿宋_GB2312" w:cs="方正仿宋_GB2312"/>
          <w:i w:val="0"/>
          <w:iCs w:val="0"/>
          <w:caps w:val="0"/>
          <w:color w:val="000000"/>
          <w:spacing w:val="0"/>
          <w:sz w:val="32"/>
          <w:szCs w:val="32"/>
        </w:rPr>
        <w:t>时（北京时间，法定节假日除外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报名</w:t>
      </w:r>
      <w:r>
        <w:rPr>
          <w:rFonts w:hint="eastAsia" w:ascii="方正仿宋_GB2312" w:hAnsi="方正仿宋_GB2312" w:eastAsia="方正仿宋_GB2312" w:cs="方正仿宋_GB2312"/>
          <w:i w:val="0"/>
          <w:iCs w:val="0"/>
          <w:caps w:val="0"/>
          <w:color w:val="000000"/>
          <w:spacing w:val="0"/>
          <w:sz w:val="32"/>
          <w:szCs w:val="32"/>
        </w:rPr>
        <w:t>方式：</w:t>
      </w:r>
      <w:r>
        <w:rPr>
          <w:rFonts w:hint="eastAsia" w:ascii="方正仿宋_GB2312" w:hAnsi="方正仿宋_GB2312" w:eastAsia="方正仿宋_GB2312" w:cs="方正仿宋_GB2312"/>
          <w:i w:val="0"/>
          <w:iCs w:val="0"/>
          <w:caps w:val="0"/>
          <w:color w:val="000000"/>
          <w:spacing w:val="0"/>
          <w:sz w:val="32"/>
          <w:szCs w:val="32"/>
          <w:lang w:val="en-US" w:eastAsia="zh-CN"/>
        </w:rPr>
        <w:t>湘潭开放大学实训楼二楼208室</w:t>
      </w:r>
      <w:r>
        <w:rPr>
          <w:rFonts w:hint="eastAsia" w:ascii="方正仿宋_GB2312" w:hAnsi="方正仿宋_GB2312" w:eastAsia="方正仿宋_GB2312" w:cs="方正仿宋_GB2312"/>
          <w:i w:val="0"/>
          <w:iCs w:val="0"/>
          <w:caps w:val="0"/>
          <w:color w:val="000000"/>
          <w:spacing w:val="0"/>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jc w:val="center"/>
        <w:rPr>
          <w:rFonts w:hint="eastAsia" w:ascii="方正仿宋_GB2312" w:hAnsi="方正仿宋_GB2312" w:eastAsia="方正仿宋_GB2312" w:cs="方正仿宋_GB2312"/>
          <w:i w:val="0"/>
          <w:iCs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jc w:val="center"/>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报名表</w:t>
      </w:r>
    </w:p>
    <w:tbl>
      <w:tblPr>
        <w:tblStyle w:val="7"/>
        <w:tblW w:w="878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35"/>
        <w:gridCol w:w="2225"/>
        <w:gridCol w:w="4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20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right="0"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项目名称</w:t>
            </w:r>
          </w:p>
        </w:tc>
        <w:tc>
          <w:tcPr>
            <w:tcW w:w="675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right="0"/>
              <w:rPr>
                <w:rFonts w:hint="default" w:ascii="方正仿宋_GB2312" w:hAnsi="方正仿宋_GB2312" w:eastAsia="方正仿宋_GB2312" w:cs="方正仿宋_GB2312"/>
                <w:sz w:val="32"/>
                <w:szCs w:val="32"/>
                <w:lang w:val="en-US"/>
              </w:rPr>
            </w:pP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湘潭开放大学灭四害、灭白蚁服务采购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tblCellSpacing w:w="0" w:type="dxa"/>
          <w:jc w:val="center"/>
        </w:trPr>
        <w:tc>
          <w:tcPr>
            <w:tcW w:w="20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w:t>
            </w:r>
          </w:p>
        </w:tc>
        <w:tc>
          <w:tcPr>
            <w:tcW w:w="675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方正仿宋_GB2312" w:hAnsi="方正仿宋_GB2312" w:eastAsia="方正仿宋_GB2312" w:cs="方正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426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联系人：</w:t>
            </w:r>
          </w:p>
        </w:tc>
        <w:tc>
          <w:tcPr>
            <w:tcW w:w="4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联系电话：</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供应商报名时需提交的资料：</w:t>
      </w:r>
      <w:r>
        <w:rPr>
          <w:rFonts w:hint="eastAsia" w:ascii="方正仿宋_GB2312" w:hAnsi="方正仿宋_GB2312" w:eastAsia="方正仿宋_GB2312" w:cs="方正仿宋_GB2312"/>
          <w:b/>
          <w:bCs/>
          <w:i w:val="0"/>
          <w:iCs w:val="0"/>
          <w:caps w:val="0"/>
          <w:color w:val="000000"/>
          <w:spacing w:val="0"/>
          <w:sz w:val="32"/>
          <w:szCs w:val="32"/>
          <w:lang w:val="en-US" w:eastAsia="zh-CN"/>
        </w:rPr>
        <w:t xml:space="preserve">法人本人参加此次采购活动的需提供 </w:t>
      </w:r>
      <w:r>
        <w:rPr>
          <w:rFonts w:hint="eastAsia" w:ascii="方正仿宋_GB2312" w:hAnsi="方正仿宋_GB2312" w:eastAsia="方正仿宋_GB2312" w:cs="方正仿宋_GB2312"/>
          <w:i w:val="0"/>
          <w:iCs w:val="0"/>
          <w:caps w:val="0"/>
          <w:color w:val="000000"/>
          <w:spacing w:val="0"/>
          <w:sz w:val="32"/>
          <w:szCs w:val="32"/>
        </w:rPr>
        <w:t>供应商营业执照副本及相关资质</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相关资质包含政府采购电子卖场资质；参加政府采购活动前三年内在经营活动中没有重大违法记录的书面声明</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w:t>
      </w:r>
      <w:r>
        <w:rPr>
          <w:rFonts w:hint="eastAsia" w:ascii="方正仿宋_GB2312" w:hAnsi="方正仿宋_GB2312" w:eastAsia="方正仿宋_GB2312" w:cs="方正仿宋_GB2312"/>
          <w:i w:val="0"/>
          <w:iCs w:val="0"/>
          <w:caps w:val="0"/>
          <w:color w:val="000000"/>
          <w:spacing w:val="0"/>
          <w:sz w:val="32"/>
          <w:szCs w:val="32"/>
          <w:lang w:val="en-US" w:eastAsia="zh-CN"/>
        </w:rPr>
        <w:t>法人身份证（正反面复印件）；报名表。</w:t>
      </w:r>
      <w:r>
        <w:rPr>
          <w:rFonts w:hint="eastAsia" w:ascii="方正仿宋_GB2312" w:hAnsi="方正仿宋_GB2312" w:eastAsia="方正仿宋_GB2312" w:cs="方正仿宋_GB2312"/>
          <w:b/>
          <w:bCs/>
          <w:i w:val="0"/>
          <w:iCs w:val="0"/>
          <w:caps w:val="0"/>
          <w:color w:val="000000"/>
          <w:spacing w:val="0"/>
          <w:sz w:val="32"/>
          <w:szCs w:val="32"/>
          <w:lang w:val="en-US" w:eastAsia="zh-CN"/>
        </w:rPr>
        <w:t xml:space="preserve">法人授权委托他人参加此次采购活动的需提供  </w:t>
      </w:r>
      <w:r>
        <w:rPr>
          <w:rFonts w:hint="eastAsia" w:ascii="方正仿宋_GB2312" w:hAnsi="方正仿宋_GB2312" w:eastAsia="方正仿宋_GB2312" w:cs="方正仿宋_GB2312"/>
          <w:i w:val="0"/>
          <w:iCs w:val="0"/>
          <w:caps w:val="0"/>
          <w:color w:val="000000"/>
          <w:spacing w:val="0"/>
          <w:sz w:val="32"/>
          <w:szCs w:val="32"/>
        </w:rPr>
        <w:t>供应商营业执照副本及相关资质</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相关资质包含政府采购电子卖场资质；参加政府采购活动前三年内在经营活动中没有重大违法记录的书面声明</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w:t>
      </w:r>
      <w:r>
        <w:rPr>
          <w:rFonts w:hint="eastAsia" w:ascii="方正仿宋_GB2312" w:hAnsi="方正仿宋_GB2312" w:eastAsia="方正仿宋_GB2312" w:cs="方正仿宋_GB2312"/>
          <w:i w:val="0"/>
          <w:iCs w:val="0"/>
          <w:caps w:val="0"/>
          <w:color w:val="000000"/>
          <w:spacing w:val="0"/>
          <w:sz w:val="32"/>
          <w:szCs w:val="32"/>
          <w:lang w:val="en-US" w:eastAsia="zh-CN"/>
        </w:rPr>
        <w:t>法人身份证（正反面复印件）；</w:t>
      </w:r>
      <w:r>
        <w:rPr>
          <w:rFonts w:hint="eastAsia" w:ascii="方正仿宋_GB2312" w:hAnsi="方正仿宋_GB2312" w:eastAsia="方正仿宋_GB2312" w:cs="方正仿宋_GB2312"/>
          <w:i w:val="0"/>
          <w:iCs w:val="0"/>
          <w:caps w:val="0"/>
          <w:color w:val="000000"/>
          <w:spacing w:val="0"/>
          <w:sz w:val="32"/>
          <w:szCs w:val="32"/>
        </w:rPr>
        <w:t>授权委托书（原件</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被授权人身份证</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正反面复印件</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；报名表</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以上复印件均要求加盖公章。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3</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其他说明：报名时对报名资料的审验并不作为供应商资格条件的最终认定，供应商应对资料的真实性、合规性负责；开标后，将由询价小组对供应商的资格证明材料进行资格审核，不符合项目资格条件的供应商的投标为无效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我方采购小组将通过各供应商提供报名资料的</w:t>
      </w:r>
      <w:r>
        <w:rPr>
          <w:rFonts w:hint="eastAsia" w:ascii="方正仿宋_GB2312" w:hAnsi="方正仿宋_GB2312" w:eastAsia="方正仿宋_GB2312" w:cs="方正仿宋_GB2312"/>
          <w:i w:val="0"/>
          <w:iCs w:val="0"/>
          <w:caps w:val="0"/>
          <w:color w:val="000000"/>
          <w:spacing w:val="0"/>
          <w:sz w:val="32"/>
          <w:szCs w:val="32"/>
          <w:lang w:val="en-US" w:eastAsia="zh-CN"/>
        </w:rPr>
        <w:t>联系方式</w:t>
      </w:r>
      <w:r>
        <w:rPr>
          <w:rFonts w:hint="eastAsia" w:ascii="方正仿宋_GB2312" w:hAnsi="方正仿宋_GB2312" w:eastAsia="方正仿宋_GB2312" w:cs="方正仿宋_GB2312"/>
          <w:i w:val="0"/>
          <w:iCs w:val="0"/>
          <w:caps w:val="0"/>
          <w:color w:val="000000"/>
          <w:spacing w:val="0"/>
          <w:sz w:val="32"/>
          <w:szCs w:val="32"/>
        </w:rPr>
        <w:t>向报名供应商发送询价文件等相关资料，如因个人原因没有及时查看等造成的一切损失由供应商自行承担。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四、响应文件递交截止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时间：202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8</w:t>
      </w:r>
      <w:r>
        <w:rPr>
          <w:rFonts w:hint="eastAsia" w:ascii="方正仿宋_GB2312" w:hAnsi="方正仿宋_GB2312" w:eastAsia="方正仿宋_GB2312" w:cs="方正仿宋_GB2312"/>
          <w:i w:val="0"/>
          <w:iCs w:val="0"/>
          <w:caps w:val="0"/>
          <w:color w:val="000000"/>
          <w:spacing w:val="0"/>
          <w:sz w:val="32"/>
          <w:szCs w:val="32"/>
        </w:rPr>
        <w:t>日</w:t>
      </w:r>
      <w:r>
        <w:rPr>
          <w:rFonts w:hint="eastAsia" w:ascii="方正仿宋_GB2312" w:hAnsi="方正仿宋_GB2312" w:eastAsia="方正仿宋_GB2312" w:cs="方正仿宋_GB2312"/>
          <w:i w:val="0"/>
          <w:iCs w:val="0"/>
          <w:caps w:val="0"/>
          <w:color w:val="000000"/>
          <w:spacing w:val="0"/>
          <w:sz w:val="32"/>
          <w:szCs w:val="32"/>
          <w:lang w:val="en-US" w:eastAsia="zh-CN"/>
        </w:rPr>
        <w:t>10</w:t>
      </w:r>
      <w:r>
        <w:rPr>
          <w:rFonts w:hint="eastAsia" w:ascii="方正仿宋_GB2312" w:hAnsi="方正仿宋_GB2312" w:eastAsia="方正仿宋_GB2312" w:cs="方正仿宋_GB2312"/>
          <w:i w:val="0"/>
          <w:iCs w:val="0"/>
          <w:caps w:val="0"/>
          <w:color w:val="000000"/>
          <w:spacing w:val="0"/>
          <w:sz w:val="32"/>
          <w:szCs w:val="32"/>
        </w:rPr>
        <w:t>时前（北京时间）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地点：</w:t>
      </w:r>
      <w:r>
        <w:rPr>
          <w:rFonts w:hint="eastAsia" w:ascii="方正仿宋_GB2312" w:hAnsi="方正仿宋_GB2312" w:eastAsia="方正仿宋_GB2312" w:cs="方正仿宋_GB2312"/>
          <w:i w:val="0"/>
          <w:iCs w:val="0"/>
          <w:caps w:val="0"/>
          <w:color w:val="000000"/>
          <w:spacing w:val="0"/>
          <w:sz w:val="32"/>
          <w:szCs w:val="32"/>
          <w:lang w:val="en-US" w:eastAsia="zh-CN"/>
        </w:rPr>
        <w:t>湘潭开放大学实训楼208</w:t>
      </w:r>
      <w:r>
        <w:rPr>
          <w:rFonts w:hint="eastAsia" w:ascii="方正仿宋_GB2312" w:hAnsi="方正仿宋_GB2312" w:eastAsia="方正仿宋_GB2312" w:cs="方正仿宋_GB2312"/>
          <w:i w:val="0"/>
          <w:iCs w:val="0"/>
          <w:caps w:val="0"/>
          <w:color w:val="000000"/>
          <w:spacing w:val="0"/>
          <w:sz w:val="32"/>
          <w:szCs w:val="32"/>
        </w:rPr>
        <w:t>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3</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方式：现场递交。需提交：响应文件（</w:t>
      </w:r>
      <w:r>
        <w:rPr>
          <w:rFonts w:hint="eastAsia" w:ascii="方正仿宋_GB2312" w:hAnsi="方正仿宋_GB2312" w:eastAsia="方正仿宋_GB2312" w:cs="方正仿宋_GB2312"/>
          <w:i w:val="0"/>
          <w:iCs w:val="0"/>
          <w:caps w:val="0"/>
          <w:color w:val="000000"/>
          <w:spacing w:val="0"/>
          <w:sz w:val="32"/>
          <w:szCs w:val="32"/>
          <w:lang w:val="en-US" w:eastAsia="zh-CN"/>
        </w:rPr>
        <w:t>需密封并</w:t>
      </w:r>
      <w:r>
        <w:rPr>
          <w:rFonts w:hint="eastAsia" w:ascii="方正仿宋_GB2312" w:hAnsi="方正仿宋_GB2312" w:eastAsia="方正仿宋_GB2312" w:cs="方正仿宋_GB2312"/>
          <w:i w:val="0"/>
          <w:iCs w:val="0"/>
          <w:caps w:val="0"/>
          <w:color w:val="000000"/>
          <w:spacing w:val="0"/>
          <w:sz w:val="32"/>
          <w:szCs w:val="32"/>
        </w:rPr>
        <w:t>加盖公章）</w:t>
      </w:r>
      <w:r>
        <w:rPr>
          <w:rFonts w:hint="eastAsia" w:ascii="方正仿宋_GB2312" w:hAnsi="方正仿宋_GB2312" w:eastAsia="方正仿宋_GB2312" w:cs="方正仿宋_GB2312"/>
          <w:i w:val="0"/>
          <w:iCs w:val="0"/>
          <w:caps w:val="0"/>
          <w:color w:val="000000"/>
          <w:spacing w:val="0"/>
          <w:sz w:val="32"/>
          <w:szCs w:val="32"/>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五、响应文件开启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时间：202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9</w:t>
      </w:r>
      <w:r>
        <w:rPr>
          <w:rFonts w:hint="eastAsia" w:ascii="方正仿宋_GB2312" w:hAnsi="方正仿宋_GB2312" w:eastAsia="方正仿宋_GB2312" w:cs="方正仿宋_GB2312"/>
          <w:i w:val="0"/>
          <w:iCs w:val="0"/>
          <w:caps w:val="0"/>
          <w:color w:val="000000"/>
          <w:spacing w:val="0"/>
          <w:sz w:val="32"/>
          <w:szCs w:val="32"/>
        </w:rPr>
        <w:t>日</w:t>
      </w:r>
      <w:r>
        <w:rPr>
          <w:rFonts w:hint="eastAsia" w:ascii="方正仿宋_GB2312" w:hAnsi="方正仿宋_GB2312" w:eastAsia="方正仿宋_GB2312" w:cs="方正仿宋_GB2312"/>
          <w:i w:val="0"/>
          <w:iCs w:val="0"/>
          <w:caps w:val="0"/>
          <w:color w:val="000000"/>
          <w:spacing w:val="0"/>
          <w:sz w:val="32"/>
          <w:szCs w:val="32"/>
          <w:lang w:val="en-US" w:eastAsia="zh-CN"/>
        </w:rPr>
        <w:t>10</w:t>
      </w:r>
      <w:r>
        <w:rPr>
          <w:rFonts w:hint="eastAsia" w:ascii="方正仿宋_GB2312" w:hAnsi="方正仿宋_GB2312" w:eastAsia="方正仿宋_GB2312" w:cs="方正仿宋_GB2312"/>
          <w:i w:val="0"/>
          <w:iCs w:val="0"/>
          <w:caps w:val="0"/>
          <w:color w:val="000000"/>
          <w:spacing w:val="0"/>
          <w:sz w:val="32"/>
          <w:szCs w:val="32"/>
        </w:rPr>
        <w:t>时30分（北京时间）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default"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地点：</w:t>
      </w:r>
      <w:r>
        <w:rPr>
          <w:rFonts w:hint="eastAsia" w:ascii="方正仿宋_GB2312" w:hAnsi="方正仿宋_GB2312" w:eastAsia="方正仿宋_GB2312" w:cs="方正仿宋_GB2312"/>
          <w:i w:val="0"/>
          <w:iCs w:val="0"/>
          <w:caps w:val="0"/>
          <w:color w:val="000000"/>
          <w:spacing w:val="0"/>
          <w:sz w:val="32"/>
          <w:szCs w:val="32"/>
          <w:lang w:val="en-US" w:eastAsia="zh-CN"/>
        </w:rPr>
        <w:t>湘潭开放大学行政会议室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公告期限为</w:t>
      </w:r>
      <w:r>
        <w:rPr>
          <w:rFonts w:hint="eastAsia" w:ascii="方正仿宋_GB2312" w:hAnsi="方正仿宋_GB2312" w:eastAsia="方正仿宋_GB2312" w:cs="方正仿宋_GB2312"/>
          <w:i w:val="0"/>
          <w:iCs w:val="0"/>
          <w:caps w:val="0"/>
          <w:color w:val="000000"/>
          <w:spacing w:val="0"/>
          <w:sz w:val="32"/>
          <w:szCs w:val="32"/>
          <w:lang w:val="en-US" w:eastAsia="zh-CN"/>
        </w:rPr>
        <w:t>五</w:t>
      </w:r>
      <w:r>
        <w:rPr>
          <w:rFonts w:hint="eastAsia" w:ascii="方正仿宋_GB2312" w:hAnsi="方正仿宋_GB2312" w:eastAsia="方正仿宋_GB2312" w:cs="方正仿宋_GB2312"/>
          <w:i w:val="0"/>
          <w:iCs w:val="0"/>
          <w:caps w:val="0"/>
          <w:color w:val="000000"/>
          <w:spacing w:val="0"/>
          <w:sz w:val="32"/>
          <w:szCs w:val="32"/>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七、其他补充事宜：无。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八、凡对本次采购提出询问，请按以下方式联系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项目联系人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rPr>
        <w:t>联系人：</w:t>
      </w:r>
      <w:r>
        <w:rPr>
          <w:rFonts w:hint="eastAsia" w:ascii="方正仿宋_GB2312" w:hAnsi="方正仿宋_GB2312" w:eastAsia="方正仿宋_GB2312" w:cs="方正仿宋_GB2312"/>
          <w:i w:val="0"/>
          <w:iCs w:val="0"/>
          <w:caps w:val="0"/>
          <w:color w:val="000000"/>
          <w:spacing w:val="0"/>
          <w:sz w:val="32"/>
          <w:szCs w:val="32"/>
          <w:lang w:val="en-US" w:eastAsia="zh-CN"/>
        </w:rPr>
        <w:t>冯建军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rPr>
        <w:t>联系方式：</w:t>
      </w:r>
      <w:r>
        <w:rPr>
          <w:rFonts w:hint="eastAsia" w:ascii="方正仿宋_GB2312" w:hAnsi="方正仿宋_GB2312" w:eastAsia="方正仿宋_GB2312" w:cs="方正仿宋_GB2312"/>
          <w:i w:val="0"/>
          <w:iCs w:val="0"/>
          <w:caps w:val="0"/>
          <w:color w:val="000000"/>
          <w:spacing w:val="0"/>
          <w:sz w:val="32"/>
          <w:szCs w:val="32"/>
          <w:lang w:val="en-US" w:eastAsia="zh-CN"/>
        </w:rPr>
        <w:t>13973291298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b w:val="0"/>
          <w:bCs w:val="0"/>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rPr>
        <w:t>名称：</w:t>
      </w: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湘潭开放大学后勤保卫部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default"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rPr>
        <w:t>联系人：</w:t>
      </w:r>
      <w:r>
        <w:rPr>
          <w:rFonts w:hint="eastAsia" w:ascii="方正仿宋_GB2312" w:hAnsi="方正仿宋_GB2312" w:eastAsia="方正仿宋_GB2312" w:cs="方正仿宋_GB2312"/>
          <w:i w:val="0"/>
          <w:iCs w:val="0"/>
          <w:caps w:val="0"/>
          <w:color w:val="000000"/>
          <w:spacing w:val="0"/>
          <w:sz w:val="32"/>
          <w:szCs w:val="32"/>
          <w:lang w:val="en-US" w:eastAsia="zh-CN"/>
        </w:rPr>
        <w:t>冯建军部长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jc w:val="right"/>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湘潭开放大学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jc w:val="right"/>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2024年4月1日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D11407-121E-43E4-B62B-1094BCEEA9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081B95D-DD49-4859-BBD1-16FBEB6BA743}"/>
  </w:font>
  <w:font w:name="方正仿宋_GB2312">
    <w:panose1 w:val="02000000000000000000"/>
    <w:charset w:val="86"/>
    <w:family w:val="auto"/>
    <w:pitch w:val="default"/>
    <w:sig w:usb0="A00002BF" w:usb1="184F6CFA" w:usb2="00000012" w:usb3="00000000" w:csb0="00040001" w:csb1="00000000"/>
    <w:embedRegular r:id="rId3" w:fontKey="{E9D73A2E-0F57-4B7D-A8D4-39D961375CD8}"/>
  </w:font>
  <w:font w:name="仿宋_GB2312">
    <w:altName w:val="仿宋"/>
    <w:panose1 w:val="02010609030101010101"/>
    <w:charset w:val="86"/>
    <w:family w:val="modern"/>
    <w:pitch w:val="default"/>
    <w:sig w:usb0="00000000" w:usb1="00000000" w:usb2="00000010" w:usb3="00000000" w:csb0="00040000"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ZDE2N2M4ODFmMjkyOGM0MjdiODVmYmJjNzAyYzYifQ=="/>
  </w:docVars>
  <w:rsids>
    <w:rsidRoot w:val="6DE56B73"/>
    <w:rsid w:val="24CD2EFD"/>
    <w:rsid w:val="262D2FC7"/>
    <w:rsid w:val="268A1E6A"/>
    <w:rsid w:val="28412C5F"/>
    <w:rsid w:val="2B8354F2"/>
    <w:rsid w:val="3E5C3B5C"/>
    <w:rsid w:val="4F0E4924"/>
    <w:rsid w:val="5DED0326"/>
    <w:rsid w:val="61202605"/>
    <w:rsid w:val="69283E14"/>
    <w:rsid w:val="6DE56B73"/>
    <w:rsid w:val="7CF0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4"/>
    </w:rPr>
  </w:style>
  <w:style w:type="paragraph" w:styleId="3">
    <w:name w:val="Body Text Indent"/>
    <w:basedOn w:val="1"/>
    <w:next w:val="4"/>
    <w:autoRedefine/>
    <w:qFormat/>
    <w:uiPriority w:val="99"/>
    <w:pPr>
      <w:spacing w:after="120"/>
      <w:ind w:left="420" w:leftChars="200"/>
    </w:pPr>
  </w:style>
  <w:style w:type="paragraph" w:styleId="4">
    <w:name w:val="Body Text Indent 2"/>
    <w:basedOn w:val="1"/>
    <w:autoRedefine/>
    <w:qFormat/>
    <w:uiPriority w:val="0"/>
    <w:pPr>
      <w:spacing w:after="120" w:line="480" w:lineRule="auto"/>
      <w:ind w:left="420" w:leftChars="2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next w:val="2"/>
    <w:autoRedefine/>
    <w:qFormat/>
    <w:uiPriority w:val="0"/>
    <w:pPr>
      <w:widowControl/>
      <w:spacing w:after="312" w:afterLines="100" w:line="360" w:lineRule="auto"/>
      <w:ind w:left="200" w:firstLine="210" w:firstLineChars="200"/>
      <w:jc w:val="left"/>
    </w:pPr>
    <w:rPr>
      <w:kern w:val="28"/>
      <w:sz w:val="24"/>
      <w:lang w:val="zh-CN"/>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paragraph" w:customStyle="1"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2023-11-22T06:20:00Z</dcterms:created>
  <dc:creator>琴子</dc:creator>
  <cp:lastModifiedBy>琴子</cp:lastModifiedBy>
  <cp:lastPrinted>2024-04-01T01:01:57Z</cp:lastPrinted>
  <dcterms:modified xsi:type="dcterms:W3CDTF">2024-04-01T01:11:58Z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5ECABFA62A824DD280AA4676E809A072_13</vt:lpwstr>
  </property>
</Properties>
</file>