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2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肇庆市政府采购信用评价指标体系（采购代理机构）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/>
        <w:ind w:left="8960" w:hanging="8960" w:hangingChars="3200"/>
        <w:textAlignment w:val="auto"/>
        <w:outlineLvl w:val="9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评价人（盖章、评审专家签名）：                    采购项目名称：</w:t>
      </w:r>
      <w:bookmarkStart w:id="0" w:name="_GoBack"/>
      <w:bookmarkEnd w:id="0"/>
    </w:p>
    <w:tbl>
      <w:tblPr>
        <w:tblStyle w:val="4"/>
        <w:tblW w:w="15000" w:type="dxa"/>
        <w:tblInd w:w="-8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455"/>
        <w:gridCol w:w="10125"/>
        <w:gridCol w:w="100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评价指标</w:t>
            </w:r>
          </w:p>
        </w:tc>
        <w:tc>
          <w:tcPr>
            <w:tcW w:w="10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评分标准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得分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评价人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采购文件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编写质量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（15分）</w:t>
            </w:r>
          </w:p>
        </w:tc>
        <w:tc>
          <w:tcPr>
            <w:tcW w:w="10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采购文件编制规范、完整。（5分）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采购人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  <w:t>投标供应商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评审专家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政府采购功能政策落实情况。（5分）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采购文件中评审方法和标准符合规定。（5分）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评审活动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（49分）</w:t>
            </w:r>
          </w:p>
        </w:tc>
        <w:tc>
          <w:tcPr>
            <w:tcW w:w="10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代理机构准确通知评审时间、地点。评审时间、地点改变后，及时通知评审专家。（3分）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采购人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评审专家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代理机构人员核对评审专家身份和采购人代表授权函。（3分）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代理机构人员告知评审专家应当回避的情形，介绍政府采购相关政策法规、招标文件。（5分）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4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在评审工作开始前，代理机构统一将手机等通讯工具或相关电子设备进行保管。（3分）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4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代理机构提供必要的评审条件及配套的评审环境。（5分）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4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  <w:t>代理机构按规定对开标、评标（评审）活动进行全程录音、录像。（5分）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代理机构保障评审活动不受外界干扰。（5分）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45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  <w:t>代理机构采取必要措施禁止与评审工作无关的人员进入评审现场。（5分）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采购人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评审专家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4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代理机构督促评审委员会按规定独立评审，及时纠正和制止倾向性言论等违法行为。（5分）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4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代理机构没有擅自终止采购活动。（5分）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4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  <w:t>代理机构及时按照规定向评审专家支付劳务报酬或异地评审差旅费。（5分）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4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职业素质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（24分）</w:t>
            </w:r>
          </w:p>
        </w:tc>
        <w:tc>
          <w:tcPr>
            <w:tcW w:w="10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  <w:t>代理机构工作人员熟练掌握政府采购各项法律法规和规章制度。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（6分）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采购人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评审专家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代理机构工作人员的问题处理能力。</w:t>
            </w: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  <w:t>（5分）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代理机构人员未发表存在歧视性、倾向性意见，或非法干预采购评审活动。（8分）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代理机构人员服务过程细致耐心，严格规范。（5分）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4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整体评价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（12分）</w:t>
            </w:r>
          </w:p>
        </w:tc>
        <w:tc>
          <w:tcPr>
            <w:tcW w:w="10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代理项目的规范程度。（6分）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采购人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对此次项目代理的满意度。（6分）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总分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100分</w:t>
            </w:r>
          </w:p>
        </w:tc>
        <w:tc>
          <w:tcPr>
            <w:tcW w:w="10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    计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wNzk4ZDRkZDZjMzkwMDlhZDQzZmUyNjcxZmY2ZjEifQ=="/>
  </w:docVars>
  <w:rsids>
    <w:rsidRoot w:val="00000000"/>
    <w:rsid w:val="08CB6A3B"/>
    <w:rsid w:val="14A21D05"/>
    <w:rsid w:val="21FB607B"/>
    <w:rsid w:val="278E5D94"/>
    <w:rsid w:val="662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autoRedefine/>
    <w:qFormat/>
    <w:uiPriority w:val="0"/>
    <w:pPr>
      <w:ind w:left="420" w:leftChars="200"/>
    </w:pPr>
    <w:rPr>
      <w:rFonts w:ascii="Times New Roman" w:hAnsi="Times New Roman" w:eastAsia="宋体" w:cs="Times New Roman"/>
      <w:szCs w:val="24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2024-01-31T07:58:00Z</dcterms:created>
  <dc:creator>Administrator</dc:creator>
  <cp:lastModifiedBy>~Weilin</cp:lastModifiedBy>
  <dcterms:modified xsi:type="dcterms:W3CDTF">2024-03-26T07:28:06Z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FD2905C9CC2A4D7CBC153B6AA8441ACC_12</vt:lpwstr>
  </property>
</Properties>
</file>