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 xml:space="preserve">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为降低荥经县范围内病媒生物密度，改善居民生活环境，迎接病媒生物专项考核，为国家卫生城市复审打好基础，现开展荥经县病媒生物防制服务。本项目共1个包，采购2024年荥经城区病媒生物防制消杀服务供应商一名。</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327,420.00</w:t>
      </w:r>
    </w:p>
    <w:p>
      <w:pPr>
        <w:pStyle w:val="4"/>
      </w:pPr>
      <w:r>
        <w:t>采购包最高限价（元）: 327,420.00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病媒生物防制消杀服务</w:t>
            </w:r>
          </w:p>
        </w:tc>
        <w:tc>
          <w:tcPr>
            <w:tcW w:w="848" w:type="dxa"/>
          </w:tcPr>
          <w:p>
            <w:pPr>
              <w:pStyle w:val="4"/>
              <w:jc w:val="right"/>
            </w:pPr>
            <w:r>
              <w:t>1.00</w:t>
            </w:r>
          </w:p>
        </w:tc>
        <w:tc>
          <w:tcPr>
            <w:tcW w:w="1356" w:type="dxa"/>
          </w:tcPr>
          <w:p>
            <w:pPr>
              <w:pStyle w:val="4"/>
              <w:jc w:val="right"/>
            </w:pPr>
            <w:r>
              <w:t>327,420.00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标的名称：病媒生物防制消杀服务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6"/>
        <w:gridCol w:w="2116"/>
        <w:gridCol w:w="429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sz w:val="24"/>
              </w:rPr>
              <w:t>★（一）项目内容</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36"/>
              <w:gridCol w:w="2648"/>
              <w:gridCol w:w="53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50"/>
                    <w:jc w:val="center"/>
                  </w:pPr>
                  <w:r>
                    <w:rPr>
                      <w:rFonts w:ascii="宋体" w:hAnsi="宋体" w:eastAsia="宋体" w:cs="宋体"/>
                      <w:b/>
                      <w:sz w:val="24"/>
                    </w:rPr>
                    <w:t>序号</w:t>
                  </w:r>
                </w:p>
              </w:tc>
              <w:tc>
                <w:tcPr>
                  <w:tcW w:w="26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50"/>
                    <w:jc w:val="center"/>
                  </w:pPr>
                  <w:r>
                    <w:rPr>
                      <w:rFonts w:ascii="宋体" w:hAnsi="宋体" w:eastAsia="宋体" w:cs="宋体"/>
                      <w:b/>
                      <w:sz w:val="24"/>
                    </w:rPr>
                    <w:t>服务项目</w:t>
                  </w:r>
                </w:p>
              </w:tc>
              <w:tc>
                <w:tcPr>
                  <w:tcW w:w="53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50"/>
                    <w:jc w:val="center"/>
                  </w:pPr>
                  <w:r>
                    <w:rPr>
                      <w:rFonts w:ascii="宋体" w:hAnsi="宋体" w:eastAsia="宋体" w:cs="宋体"/>
                      <w:b/>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50"/>
                    <w:jc w:val="center"/>
                  </w:pPr>
                  <w:r>
                    <w:rPr>
                      <w:rFonts w:ascii="宋体" w:hAnsi="宋体" w:eastAsia="宋体" w:cs="宋体"/>
                      <w:sz w:val="24"/>
                    </w:rPr>
                    <w:t>1</w:t>
                  </w:r>
                </w:p>
              </w:tc>
              <w:tc>
                <w:tcPr>
                  <w:tcW w:w="26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50"/>
                    <w:jc w:val="center"/>
                  </w:pPr>
                  <w:r>
                    <w:rPr>
                      <w:rFonts w:ascii="宋体" w:hAnsi="宋体" w:eastAsia="宋体" w:cs="宋体"/>
                      <w:sz w:val="24"/>
                    </w:rPr>
                    <w:t>老鼠、蚊虫、苍蝇、蟑螂等病媒生物消除</w:t>
                  </w:r>
                </w:p>
              </w:tc>
              <w:tc>
                <w:tcPr>
                  <w:tcW w:w="5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50"/>
                    <w:jc w:val="center"/>
                  </w:pPr>
                </w:p>
              </w:tc>
            </w:tr>
          </w:tbl>
          <w:p>
            <w:pPr>
              <w:pStyle w:val="4"/>
              <w:jc w:val="both"/>
            </w:pPr>
          </w:p>
          <w:p>
            <w:pPr>
              <w:pStyle w:val="4"/>
              <w:jc w:val="both"/>
            </w:pPr>
          </w:p>
          <w:p>
            <w:pPr>
              <w:pStyle w:val="4"/>
              <w:jc w:val="both"/>
            </w:pPr>
          </w:p>
          <w:p>
            <w:pPr>
              <w:pStyle w:val="4"/>
              <w:jc w:val="both"/>
            </w:pPr>
            <w:r>
              <w:rPr>
                <w:rFonts w:ascii="宋体" w:hAnsi="宋体" w:eastAsia="宋体" w:cs="宋体"/>
                <w:b/>
                <w:sz w:val="24"/>
              </w:rPr>
              <w:t>（二）老鼠、蚊虫、苍蝇、蟑螂等病媒生物消除服务要求</w:t>
            </w:r>
          </w:p>
          <w:p>
            <w:pPr>
              <w:pStyle w:val="4"/>
              <w:jc w:val="both"/>
            </w:pPr>
            <w:r>
              <w:rPr>
                <w:rFonts w:ascii="宋体" w:hAnsi="宋体" w:eastAsia="宋体" w:cs="宋体"/>
                <w:b/>
                <w:sz w:val="24"/>
              </w:rPr>
              <w:t>★1、执行标准、依据</w:t>
            </w:r>
          </w:p>
          <w:p>
            <w:pPr>
              <w:pStyle w:val="4"/>
              <w:jc w:val="both"/>
            </w:pPr>
            <w:r>
              <w:rPr>
                <w:rFonts w:ascii="宋体" w:hAnsi="宋体" w:eastAsia="宋体" w:cs="宋体"/>
                <w:sz w:val="24"/>
              </w:rPr>
              <w:t>1.1《病媒生物密度控制水平—鼠类、蚊虫、蝇类、蜚蠊》（GB／T27770、27771、27772、27773—2011）。</w:t>
            </w:r>
          </w:p>
          <w:p>
            <w:pPr>
              <w:pStyle w:val="4"/>
              <w:jc w:val="both"/>
            </w:pPr>
            <w:r>
              <w:rPr>
                <w:rFonts w:ascii="宋体" w:hAnsi="宋体" w:eastAsia="宋体" w:cs="宋体"/>
                <w:sz w:val="24"/>
              </w:rPr>
              <w:t>1.2全国爱卫会关于印发《国家卫生城镇评审管理办法》和《国家卫生城市和国家卫生县标准》《国家卫生乡镇标准》的通知（全爱卫发〔2021〕6号）。</w:t>
            </w:r>
          </w:p>
          <w:p>
            <w:pPr>
              <w:pStyle w:val="4"/>
              <w:jc w:val="left"/>
            </w:pPr>
            <w:r>
              <w:rPr>
                <w:rFonts w:ascii="宋体" w:hAnsi="宋体" w:eastAsia="宋体" w:cs="宋体"/>
                <w:sz w:val="24"/>
              </w:rPr>
              <w:t>1.3《关于开展2020年病媒生物防制工作通知》成爱办（［2020］第3号）。</w:t>
            </w:r>
          </w:p>
          <w:p>
            <w:pPr>
              <w:pStyle w:val="4"/>
              <w:jc w:val="left"/>
            </w:pPr>
            <w:r>
              <w:rPr>
                <w:rFonts w:ascii="宋体" w:hAnsi="宋体" w:eastAsia="宋体" w:cs="宋体"/>
                <w:b/>
                <w:sz w:val="24"/>
              </w:rPr>
              <w:t>2、服务对象</w:t>
            </w:r>
          </w:p>
          <w:p>
            <w:pPr>
              <w:pStyle w:val="4"/>
              <w:jc w:val="left"/>
            </w:pPr>
            <w:r>
              <w:rPr>
                <w:rFonts w:ascii="宋体" w:hAnsi="宋体" w:eastAsia="宋体" w:cs="宋体"/>
                <w:sz w:val="24"/>
              </w:rPr>
              <w:t>2.1荥经县建成区约7.08平方公里范围建成区范围。</w:t>
            </w:r>
          </w:p>
          <w:p>
            <w:pPr>
              <w:pStyle w:val="4"/>
              <w:jc w:val="left"/>
            </w:pPr>
            <w:r>
              <w:rPr>
                <w:rFonts w:ascii="宋体" w:hAnsi="宋体" w:eastAsia="宋体" w:cs="宋体"/>
                <w:b/>
                <w:sz w:val="24"/>
              </w:rPr>
              <w:t>3、服务范围</w:t>
            </w:r>
          </w:p>
          <w:p>
            <w:pPr>
              <w:pStyle w:val="4"/>
              <w:jc w:val="left"/>
            </w:pPr>
            <w:r>
              <w:rPr>
                <w:rFonts w:ascii="宋体" w:hAnsi="宋体" w:eastAsia="宋体" w:cs="宋体"/>
                <w:sz w:val="24"/>
              </w:rPr>
              <w:t>3.1公共区域:城市街道(人行道)、绿化带、公共绿地、公园、广场、沱江边坡两侧、城中村、城乡结合部、待建工地、闲置土地、破产企业厂区、公路和铁路建成区内两边公共地带、居民小区、农贸市场。</w:t>
            </w:r>
          </w:p>
          <w:p>
            <w:pPr>
              <w:pStyle w:val="4"/>
              <w:jc w:val="left"/>
            </w:pPr>
            <w:r>
              <w:rPr>
                <w:rFonts w:ascii="宋体" w:hAnsi="宋体" w:eastAsia="宋体" w:cs="宋体"/>
                <w:sz w:val="24"/>
              </w:rPr>
              <w:t>3.2五小行业:小餐饮店、小食品加工作坊、小副食店、小洗浴场所、小美容美发厅、小歌舞厅、小旅馆、小网吧等。</w:t>
            </w:r>
          </w:p>
          <w:p>
            <w:pPr>
              <w:pStyle w:val="4"/>
              <w:jc w:val="left"/>
            </w:pPr>
            <w:r>
              <w:rPr>
                <w:rFonts w:ascii="宋体" w:hAnsi="宋体" w:eastAsia="宋体" w:cs="宋体"/>
                <w:sz w:val="24"/>
              </w:rPr>
              <w:t>3.3市政设施:下水道、阴沟、窖井、排洪沟、过街地下通道</w:t>
            </w:r>
          </w:p>
          <w:p>
            <w:pPr>
              <w:pStyle w:val="4"/>
              <w:jc w:val="left"/>
            </w:pPr>
            <w:r>
              <w:rPr>
                <w:rFonts w:ascii="宋体" w:hAnsi="宋体" w:eastAsia="宋体" w:cs="宋体"/>
                <w:sz w:val="24"/>
              </w:rPr>
              <w:t>3.4环卫设施:公厕、垃圾箱、垃圾池、垃圾中转站、垃圾处理场等。</w:t>
            </w:r>
          </w:p>
          <w:p>
            <w:pPr>
              <w:pStyle w:val="4"/>
              <w:jc w:val="left"/>
            </w:pPr>
            <w:r>
              <w:rPr>
                <w:rFonts w:ascii="宋体" w:hAnsi="宋体" w:eastAsia="宋体" w:cs="宋体"/>
                <w:sz w:val="24"/>
              </w:rPr>
              <w:t>3.5部分机关、事业单位院落。</w:t>
            </w:r>
          </w:p>
          <w:p>
            <w:pPr>
              <w:pStyle w:val="4"/>
              <w:jc w:val="left"/>
            </w:pPr>
            <w:r>
              <w:rPr>
                <w:rFonts w:ascii="宋体" w:hAnsi="宋体" w:eastAsia="宋体" w:cs="宋体"/>
                <w:sz w:val="24"/>
              </w:rPr>
              <w:t>3.6为镇、街、部门提供除“四害”技术指导、培训。</w:t>
            </w:r>
          </w:p>
          <w:p>
            <w:pPr>
              <w:pStyle w:val="4"/>
              <w:jc w:val="left"/>
            </w:pPr>
            <w:r>
              <w:rPr>
                <w:rFonts w:ascii="宋体" w:hAnsi="宋体" w:eastAsia="宋体" w:cs="宋体"/>
                <w:b/>
                <w:sz w:val="24"/>
              </w:rPr>
              <w:t>★4、服务频次及要求</w:t>
            </w:r>
          </w:p>
          <w:p>
            <w:pPr>
              <w:pStyle w:val="4"/>
              <w:jc w:val="left"/>
            </w:pPr>
            <w:r>
              <w:rPr>
                <w:rFonts w:ascii="宋体" w:hAnsi="宋体" w:eastAsia="宋体" w:cs="宋体"/>
                <w:sz w:val="24"/>
              </w:rPr>
              <w:t>4.1灭鼠：全年完成不低于4次灭鼠服务（春秋两季各进行一次全覆盖灭鼠消杀；病媒生物专项评估前，进行1次应急消杀；国家卫生县复审前进行1次应急消杀）；服务范围为城区外环境、城区五小行业、示范街区等场所灭鼠和鼠洞进行填堵；城区外环境春季和秋季安装灭鼠毒饵站，进行2轮外环境灭鼠，并按照采购人要求进行应急消杀。城区五小行业春季和秋季进行2轮灭鼠，并按照采购人要求进行应急消杀。春季对病媒生物示范街区进行彻底消杀，验收前对该区域再次进行消杀，查漏补缺，清理鼠迹蟑迹。灭鼠毒饵的补投遵循多吃多补，少吃少补，及时更换霉烂变质的毒饵。</w:t>
            </w:r>
          </w:p>
          <w:p>
            <w:pPr>
              <w:pStyle w:val="4"/>
              <w:jc w:val="left"/>
            </w:pPr>
            <w:r>
              <w:rPr>
                <w:rFonts w:ascii="宋体" w:hAnsi="宋体" w:eastAsia="宋体" w:cs="宋体"/>
                <w:sz w:val="24"/>
              </w:rPr>
              <w:t>4.2灭蚊蝇：全年完成不低于4次灭蚊蝇（春秋两季各进行一次全覆盖灭蚊蝇消杀；病媒生物专项评估前，进行1次应急消杀；国家卫生县复审前进行1次应急消杀。）；春季和秋季进行2轮外环境灭蚊蝇，并按照采购人要求进行应急消杀。施工人员在进行滞留喷洒的同时，进行积水的处理，翻盆倒罐或投放缓释剂。</w:t>
            </w:r>
          </w:p>
          <w:p>
            <w:pPr>
              <w:pStyle w:val="4"/>
              <w:jc w:val="left"/>
            </w:pPr>
            <w:r>
              <w:rPr>
                <w:rFonts w:ascii="宋体" w:hAnsi="宋体" w:eastAsia="宋体" w:cs="宋体"/>
                <w:sz w:val="24"/>
              </w:rPr>
              <w:t>4.3灭蟑：全年完成不低于4次灭蟑螂服务（春秋两季各进行一次全覆盖灭蟑螂消杀；病媒生物专项评估前，进行1次应急消杀；国家卫生县复审前进行1次应急消杀。）；春季和秋季进行2轮外环境灭蟑螂，并按照采购人要求进行应急消杀。施工人员在进行滞留喷洒的同时，进行积水的处理，翻盆倒罐或投放缓释剂。春季和秋季进行2轮五小行业灭蟑螂，并按照采购人要求进行应急消杀。</w:t>
            </w:r>
          </w:p>
          <w:p>
            <w:pPr>
              <w:pStyle w:val="4"/>
              <w:jc w:val="left"/>
            </w:pPr>
            <w:r>
              <w:rPr>
                <w:rFonts w:ascii="pingfang sc" w:hAnsi="pingfang sc" w:eastAsia="pingfang sc" w:cs="pingfang sc"/>
                <w:b/>
                <w:sz w:val="24"/>
              </w:rPr>
              <w:t>★</w:t>
            </w:r>
            <w:r>
              <w:rPr>
                <w:rFonts w:ascii="宋体" w:hAnsi="宋体" w:eastAsia="宋体" w:cs="宋体"/>
                <w:b/>
                <w:sz w:val="24"/>
              </w:rPr>
              <w:t>5.用药及产品清单</w:t>
            </w:r>
          </w:p>
          <w:p>
            <w:pPr>
              <w:pStyle w:val="4"/>
              <w:jc w:val="left"/>
            </w:pPr>
            <w:r>
              <w:rPr>
                <w:rFonts w:ascii="宋体" w:hAnsi="宋体" w:eastAsia="宋体" w:cs="宋体"/>
                <w:b/>
                <w:sz w:val="24"/>
              </w:rPr>
              <w:t>5.1县城建成区范围消杀服务药品及产品清单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793"/>
              <w:gridCol w:w="1680"/>
              <w:gridCol w:w="630"/>
              <w:gridCol w:w="51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79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药品名称</w:t>
                  </w:r>
                </w:p>
              </w:tc>
              <w:tc>
                <w:tcPr>
                  <w:tcW w:w="158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成分/含量/规格/技术要求</w:t>
                  </w:r>
                </w:p>
              </w:tc>
              <w:tc>
                <w:tcPr>
                  <w:tcW w:w="51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数量</w:t>
                  </w:r>
                </w:p>
              </w:tc>
              <w:tc>
                <w:tcPr>
                  <w:tcW w:w="51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溴敌隆毒饵</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有效成分溴敌隆，含量为0.005%</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2000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吡丙醚杀虫颗粒剂</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有效成分为吡丙醚，含量为0.5%</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高氯残杀威悬浮剂</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有效成分为高效氯氰菊酯、残杀威，含量大于或等于8%</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氯菊烯丙菊水乳剂</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有效成分为氯菊酯、生物烯丙菊酯，含量为10.4%或104克/升</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杀蟑热雾剂</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有效成分为高效氯氰菊酯，含量含量大于或等于1%</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杀蟑饵剂</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有效成分为氟虫腈，含量为0.05%</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陶瓷毒饵站</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大于等于30cm*10cm*10cm</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1500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防鼠网</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网眼0.6cm*0.6cm</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9</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补蝇笼</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≥45cm×22.5cm</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室内粘捕式灭蝇灯</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功率：不低于20W</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室外太阳能灭蚊灯</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控制面积：15-30亩/盏</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12</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示范街道标识牌</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材质：不锈钢+PVC</w:t>
                  </w:r>
                </w:p>
                <w:p>
                  <w:pPr>
                    <w:pStyle w:val="4"/>
                    <w:jc w:val="center"/>
                  </w:pPr>
                  <w:r>
                    <w:rPr>
                      <w:rFonts w:ascii="宋体" w:hAnsi="宋体" w:eastAsia="宋体" w:cs="宋体"/>
                      <w:sz w:val="21"/>
                    </w:rPr>
                    <w:t>长宽：≥125cm×95cm</w:t>
                  </w:r>
                </w:p>
                <w:p>
                  <w:pPr>
                    <w:pStyle w:val="4"/>
                    <w:jc w:val="center"/>
                  </w:pPr>
                  <w:r>
                    <w:rPr>
                      <w:rFonts w:ascii="宋体" w:hAnsi="宋体" w:eastAsia="宋体" w:cs="宋体"/>
                      <w:sz w:val="21"/>
                    </w:rPr>
                    <w:t>（总高2米）</w:t>
                  </w:r>
                </w:p>
                <w:p>
                  <w:pPr>
                    <w:pStyle w:val="4"/>
                    <w:jc w:val="center"/>
                  </w:pPr>
                  <w:r>
                    <w:rPr>
                      <w:rFonts w:ascii="宋体" w:hAnsi="宋体" w:eastAsia="宋体" w:cs="宋体"/>
                      <w:sz w:val="21"/>
                    </w:rPr>
                    <w:t>字样：待示范街道明确后，根据采购人要求制作</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13</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示范单位标识牌</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材质：亚克力</w:t>
                  </w:r>
                </w:p>
                <w:p>
                  <w:pPr>
                    <w:pStyle w:val="4"/>
                    <w:jc w:val="center"/>
                  </w:pPr>
                  <w:r>
                    <w:rPr>
                      <w:rFonts w:ascii="宋体" w:hAnsi="宋体" w:eastAsia="宋体" w:cs="宋体"/>
                      <w:sz w:val="21"/>
                    </w:rPr>
                    <w:t>长宽：≥60cm×50cm</w:t>
                  </w:r>
                </w:p>
                <w:p>
                  <w:pPr>
                    <w:pStyle w:val="4"/>
                    <w:jc w:val="center"/>
                  </w:pPr>
                  <w:r>
                    <w:rPr>
                      <w:rFonts w:ascii="宋体" w:hAnsi="宋体" w:eastAsia="宋体" w:cs="宋体"/>
                      <w:sz w:val="21"/>
                    </w:rPr>
                    <w:t>字样：待示范街道明确后，根据采购人要求制作</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14</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示范门店标识牌</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材质：PVC</w:t>
                  </w:r>
                </w:p>
                <w:p>
                  <w:pPr>
                    <w:pStyle w:val="4"/>
                    <w:jc w:val="center"/>
                  </w:pPr>
                  <w:r>
                    <w:rPr>
                      <w:rFonts w:ascii="宋体" w:hAnsi="宋体" w:eastAsia="宋体" w:cs="宋体"/>
                      <w:sz w:val="21"/>
                    </w:rPr>
                    <w:t>长宽：≥30cm×12cm</w:t>
                  </w:r>
                </w:p>
                <w:p>
                  <w:pPr>
                    <w:pStyle w:val="4"/>
                    <w:jc w:val="center"/>
                  </w:pPr>
                  <w:r>
                    <w:rPr>
                      <w:rFonts w:ascii="宋体" w:hAnsi="宋体" w:eastAsia="宋体" w:cs="宋体"/>
                      <w:sz w:val="21"/>
                    </w:rPr>
                    <w:t>字样：待示范街道明确后，根据采购人要求制作</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15</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个</w:t>
                  </w:r>
                </w:p>
              </w:tc>
            </w:tr>
          </w:tbl>
          <w:p>
            <w:pPr>
              <w:pStyle w:val="4"/>
              <w:jc w:val="left"/>
            </w:pPr>
            <w:r>
              <w:rPr>
                <w:rFonts w:ascii="宋体" w:hAnsi="宋体" w:eastAsia="宋体" w:cs="宋体"/>
                <w:b/>
                <w:sz w:val="24"/>
              </w:rPr>
              <w:t>5.2其他用药产品清单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1050"/>
              <w:gridCol w:w="1537"/>
              <w:gridCol w:w="525"/>
              <w:gridCol w:w="50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序号</w:t>
                  </w:r>
                </w:p>
              </w:tc>
              <w:tc>
                <w:tcPr>
                  <w:tcW w:w="79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药品名称</w:t>
                  </w:r>
                </w:p>
              </w:tc>
              <w:tc>
                <w:tcPr>
                  <w:tcW w:w="158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成分/含量/规格/技术要求</w:t>
                  </w:r>
                </w:p>
              </w:tc>
              <w:tc>
                <w:tcPr>
                  <w:tcW w:w="51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数量</w:t>
                  </w:r>
                </w:p>
              </w:tc>
              <w:tc>
                <w:tcPr>
                  <w:tcW w:w="51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灭蟑螂药（杀蟑饵剂）</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有效成分为氟虫腈，含量为0.05%</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15</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灭鼠药（0.005%溴鼠灵或0.005%溴敌隆饵剂）</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有效成分溴敌隆或溴鼠灵，含量为0.005%</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160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灭蚊蝇药（高效残杀威悬浮剂）</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有效成分为高效氯氟氰菊酯，含量大于或等于8%</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15</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粘鼠板</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合起尺寸大于等于170*220mm</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蟑螂纸</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w:t>
                  </w:r>
                  <w:r>
                    <w:rPr>
                      <w:rFonts w:ascii="宋体" w:hAnsi="宋体" w:eastAsia="宋体" w:cs="宋体"/>
                      <w:sz w:val="24"/>
                    </w:rPr>
                    <w:t>9*15mm</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w:t>
                  </w:r>
                </w:p>
              </w:tc>
              <w:tc>
                <w:tcPr>
                  <w:tcW w:w="7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粘蟑纸</w:t>
                  </w:r>
                </w:p>
              </w:tc>
              <w:tc>
                <w:tcPr>
                  <w:tcW w:w="15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w:t>
                  </w:r>
                  <w:r>
                    <w:rPr>
                      <w:rFonts w:ascii="宋体" w:hAnsi="宋体" w:eastAsia="宋体" w:cs="宋体"/>
                      <w:sz w:val="24"/>
                    </w:rPr>
                    <w:t>180*125mm</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500</w:t>
                  </w:r>
                </w:p>
              </w:tc>
              <w:tc>
                <w:tcPr>
                  <w:tcW w:w="5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张</w:t>
                  </w:r>
                </w:p>
              </w:tc>
            </w:tr>
          </w:tbl>
          <w:p>
            <w:pPr>
              <w:pStyle w:val="4"/>
              <w:jc w:val="left"/>
            </w:pPr>
            <w:r>
              <w:rPr>
                <w:rFonts w:ascii="宋体" w:hAnsi="宋体" w:eastAsia="宋体" w:cs="宋体"/>
                <w:b/>
                <w:sz w:val="24"/>
              </w:rPr>
              <w:t>备注：以上药品及产品均由供应商提供。</w:t>
            </w:r>
          </w:p>
          <w:p>
            <w:pPr>
              <w:pStyle w:val="4"/>
              <w:jc w:val="left"/>
            </w:pPr>
            <w:r>
              <w:rPr>
                <w:rFonts w:ascii="pingfang sc" w:hAnsi="pingfang sc" w:eastAsia="pingfang sc" w:cs="pingfang sc"/>
                <w:sz w:val="21"/>
              </w:rPr>
              <w:t>★</w:t>
            </w:r>
            <w:r>
              <w:rPr>
                <w:rFonts w:ascii="宋体" w:hAnsi="宋体" w:eastAsia="宋体" w:cs="宋体"/>
                <w:b/>
                <w:sz w:val="24"/>
              </w:rPr>
              <w:t>6、灭四害药物质量要求</w:t>
            </w:r>
          </w:p>
          <w:p>
            <w:pPr>
              <w:pStyle w:val="4"/>
              <w:jc w:val="left"/>
            </w:pPr>
            <w:r>
              <w:rPr>
                <w:rFonts w:ascii="宋体" w:hAnsi="宋体" w:eastAsia="宋体" w:cs="宋体"/>
                <w:sz w:val="24"/>
              </w:rPr>
              <w:t>6.1供应商签订合同前提供施药服务所使用的灭鼠、灭蚊蝇、灭蟑螂药物应必须有农药登记证、农药生产批准证书（或生产厂家的农药生产许可证）、企业标准或农药产品标准证。</w:t>
            </w:r>
          </w:p>
          <w:p>
            <w:pPr>
              <w:pStyle w:val="4"/>
              <w:jc w:val="left"/>
            </w:pPr>
            <w:r>
              <w:rPr>
                <w:rFonts w:ascii="宋体" w:hAnsi="宋体" w:eastAsia="宋体" w:cs="宋体"/>
                <w:sz w:val="24"/>
              </w:rPr>
              <w:t>6.2鼠药在使用过程中，如出现霉变、短斤缺两等问题，由供应商负责召回并赔偿所有相应损失；二次抽检不合格，采购人有权立即终止合同，由此造成的所有损失由供应商承担。</w:t>
            </w:r>
          </w:p>
          <w:p>
            <w:pPr>
              <w:pStyle w:val="4"/>
              <w:jc w:val="left"/>
            </w:pPr>
            <w:r>
              <w:rPr>
                <w:rFonts w:ascii="pingfang sc" w:hAnsi="pingfang sc" w:eastAsia="pingfang sc" w:cs="pingfang sc"/>
                <w:sz w:val="21"/>
              </w:rPr>
              <w:t>★</w:t>
            </w:r>
            <w:r>
              <w:rPr>
                <w:rFonts w:ascii="宋体" w:hAnsi="宋体" w:eastAsia="宋体" w:cs="宋体"/>
                <w:b/>
                <w:sz w:val="24"/>
              </w:rPr>
              <w:t>7、安全要求</w:t>
            </w:r>
          </w:p>
          <w:p>
            <w:pPr>
              <w:pStyle w:val="4"/>
              <w:jc w:val="left"/>
            </w:pPr>
            <w:r>
              <w:rPr>
                <w:rFonts w:ascii="宋体" w:hAnsi="宋体" w:eastAsia="宋体" w:cs="宋体"/>
                <w:sz w:val="24"/>
              </w:rPr>
              <w:t>7.1所选择使用的灭鼠杀虫药物，必须是合格产品。使用灭鼠杀虫药物，必须按使用说明规范操作，严禁使用违禁药。</w:t>
            </w:r>
          </w:p>
          <w:p>
            <w:pPr>
              <w:pStyle w:val="4"/>
              <w:jc w:val="left"/>
            </w:pPr>
            <w:r>
              <w:rPr>
                <w:rFonts w:ascii="宋体" w:hAnsi="宋体" w:eastAsia="宋体" w:cs="宋体"/>
                <w:sz w:val="24"/>
              </w:rPr>
              <w:t>7.2投放灭鼠毒饵时，要通过口头宣传和张贴灭鼠安全告知的方式，提醒市民并教育好小孩，管好家禽家畜和宠物，避免误食鼠药中毒事故的发生。</w:t>
            </w:r>
          </w:p>
          <w:p>
            <w:pPr>
              <w:pStyle w:val="4"/>
              <w:jc w:val="left"/>
            </w:pPr>
            <w:r>
              <w:rPr>
                <w:rFonts w:ascii="宋体" w:hAnsi="宋体" w:eastAsia="宋体" w:cs="宋体"/>
                <w:sz w:val="24"/>
              </w:rPr>
              <w:t>7.3在对雨水地漏排水口进行灭鼠投药时，要注意设置安全警示标志，安全操作。投药完毕后，要盖好地漏排水口，防止意外事故发生。</w:t>
            </w:r>
          </w:p>
          <w:p>
            <w:pPr>
              <w:pStyle w:val="4"/>
              <w:jc w:val="left"/>
            </w:pPr>
            <w:r>
              <w:rPr>
                <w:rFonts w:ascii="宋体" w:hAnsi="宋体" w:eastAsia="宋体" w:cs="宋体"/>
                <w:sz w:val="24"/>
              </w:rPr>
              <w:t>7.4灭蟑螂时使用的热雾机进行喷烟雾作业时，应远离易燃易爆环境，严防火灾、爆炸等意外事故发生。</w:t>
            </w:r>
          </w:p>
          <w:p>
            <w:pPr>
              <w:pStyle w:val="4"/>
              <w:jc w:val="left"/>
            </w:pPr>
            <w:r>
              <w:rPr>
                <w:rFonts w:ascii="宋体" w:hAnsi="宋体" w:eastAsia="宋体" w:cs="宋体"/>
                <w:sz w:val="24"/>
              </w:rPr>
              <w:t>7.5灭蚊蝇时施药人员在操作过程中要做好个人防护，防止药液经呼吸道和皮肤吸入中毒事故的发生和对食品、饮用水、鱼池造成污染。</w:t>
            </w:r>
          </w:p>
          <w:p>
            <w:pPr>
              <w:pStyle w:val="4"/>
              <w:jc w:val="left"/>
            </w:pPr>
            <w:r>
              <w:rPr>
                <w:rFonts w:ascii="宋体" w:hAnsi="宋体" w:eastAsia="宋体" w:cs="宋体"/>
                <w:sz w:val="24"/>
              </w:rPr>
              <w:t>7.6供应商在投放、喷洒灭鼠杀虫药物的过程中，要抓好用药安全，进行安全告知，落实安全防范措施，切实防止因工作失误造成的食品污染和中毒事故发生，并做好应急预案，如有中毒发生及时响应，用药安全所涉及到的相关赔偿责任均由供应商全权负责承担。</w:t>
            </w:r>
          </w:p>
          <w:p>
            <w:pPr>
              <w:pStyle w:val="4"/>
              <w:jc w:val="left"/>
            </w:pPr>
            <w:r>
              <w:rPr>
                <w:rFonts w:ascii="宋体" w:hAnsi="宋体" w:eastAsia="宋体" w:cs="宋体"/>
                <w:b/>
                <w:sz w:val="24"/>
              </w:rPr>
              <w:t>8、质量控制</w:t>
            </w:r>
          </w:p>
          <w:p>
            <w:pPr>
              <w:pStyle w:val="4"/>
              <w:jc w:val="left"/>
            </w:pPr>
            <w:r>
              <w:rPr>
                <w:rFonts w:ascii="宋体" w:hAnsi="宋体" w:eastAsia="宋体" w:cs="宋体"/>
                <w:sz w:val="24"/>
              </w:rPr>
              <w:t>8.1.在实施合同过程中，采购人对灭鼠杀虫药物组织到位情况进行验收，对实施情况进行不定期抽查和监督。</w:t>
            </w:r>
          </w:p>
          <w:p>
            <w:pPr>
              <w:pStyle w:val="4"/>
              <w:jc w:val="left"/>
            </w:pPr>
            <w:r>
              <w:rPr>
                <w:rFonts w:ascii="宋体" w:hAnsi="宋体" w:eastAsia="宋体" w:cs="宋体"/>
                <w:sz w:val="24"/>
              </w:rPr>
              <w:t>8.2.供应商需采取网格化的作业方式，由社区人员带路,逐一对每个社区约定的环境进行服务,接受社区和群众的监督和评价,对每个社区服务结束后，应有社区带路人员的签字和街道办事处的审核盖章认可的登记情况书面记录，并将经审核签字的登记情况汇总后及时送荥经县卫生健康局爱国卫生运动委员会办公室（爱卫办）。</w:t>
            </w:r>
          </w:p>
          <w:p>
            <w:pPr>
              <w:pStyle w:val="4"/>
              <w:jc w:val="left"/>
            </w:pPr>
            <w:r>
              <w:rPr>
                <w:rFonts w:ascii="宋体" w:hAnsi="宋体" w:eastAsia="宋体" w:cs="宋体"/>
                <w:sz w:val="24"/>
              </w:rPr>
              <w:t>8.3.供应商在服务范围内按时保量完成服务，且每次履行服务后，供应商须向采购方提供自行出具的消杀效果评估报告。</w:t>
            </w:r>
          </w:p>
          <w:p>
            <w:pPr>
              <w:pStyle w:val="4"/>
              <w:jc w:val="left"/>
            </w:pPr>
            <w:r>
              <w:rPr>
                <w:rFonts w:ascii="宋体" w:hAnsi="宋体" w:eastAsia="宋体" w:cs="宋体"/>
                <w:sz w:val="24"/>
              </w:rPr>
              <w:t>8.4、供应商要按照上述要求做好相关资料报采购人留存。</w:t>
            </w:r>
          </w:p>
          <w:p>
            <w:pPr>
              <w:pStyle w:val="4"/>
            </w:pPr>
            <w:r>
              <w:rPr>
                <w:rFonts w:ascii="pingfang sc" w:hAnsi="pingfang sc" w:eastAsia="pingfang sc" w:cs="pingfang sc"/>
                <w:b/>
                <w:sz w:val="28"/>
              </w:rPr>
              <w:t>▲</w:t>
            </w:r>
            <w:r>
              <w:rPr>
                <w:rFonts w:ascii="宋体" w:hAnsi="宋体" w:eastAsia="宋体" w:cs="宋体"/>
                <w:b/>
                <w:sz w:val="28"/>
              </w:rPr>
              <w:t>9、人员配置要求</w:t>
            </w:r>
          </w:p>
          <w:p>
            <w:pPr>
              <w:pStyle w:val="4"/>
            </w:pPr>
            <w:r>
              <w:rPr>
                <w:rFonts w:ascii="宋体" w:hAnsi="宋体" w:eastAsia="宋体" w:cs="宋体"/>
                <w:b/>
                <w:sz w:val="24"/>
              </w:rPr>
              <w:t>9.1人员要求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451"/>
              <w:gridCol w:w="692"/>
              <w:gridCol w:w="690"/>
              <w:gridCol w:w="468"/>
              <w:gridCol w:w="9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序号</w:t>
                  </w:r>
                </w:p>
              </w:tc>
              <w:tc>
                <w:tcPr>
                  <w:tcW w:w="29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岗位职责</w:t>
                  </w:r>
                </w:p>
              </w:tc>
              <w:tc>
                <w:tcPr>
                  <w:tcW w:w="3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数量（不少于）</w:t>
                  </w:r>
                </w:p>
              </w:tc>
              <w:tc>
                <w:tcPr>
                  <w:tcW w:w="57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人员职责要求</w:t>
                  </w:r>
                </w:p>
              </w:tc>
              <w:tc>
                <w:tcPr>
                  <w:tcW w:w="46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人员要求</w:t>
                  </w:r>
                </w:p>
              </w:tc>
              <w:tc>
                <w:tcPr>
                  <w:tcW w:w="72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项目负责人</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1人</w:t>
                  </w:r>
                </w:p>
              </w:tc>
              <w:tc>
                <w:tcPr>
                  <w:tcW w:w="57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安排整个项目的进度、时间等，以及项目流程安排。</w:t>
                  </w:r>
                </w:p>
              </w:tc>
              <w:tc>
                <w:tcPr>
                  <w:tcW w:w="46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须具有有害生物防制员证书</w:t>
                  </w:r>
                </w:p>
              </w:tc>
              <w:tc>
                <w:tcPr>
                  <w:tcW w:w="728"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人员不得重复，需提供所配置的人员名单、身份证扫描件、证书扫描件及本单位工作证明材料（供应商为其所配备人员发放的2024年任意3个月的工资流水证明材料（成立不足3个月的新公司按成立时间提供相应月度的证明材料））并加盖供应商公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2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消杀人员</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3人</w:t>
                  </w:r>
                </w:p>
              </w:tc>
              <w:tc>
                <w:tcPr>
                  <w:tcW w:w="57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负责具体的日常消杀服务工作。</w:t>
                  </w:r>
                </w:p>
              </w:tc>
              <w:tc>
                <w:tcPr>
                  <w:tcW w:w="46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须具有有害生物防制员证书</w:t>
                  </w:r>
                </w:p>
              </w:tc>
              <w:tc>
                <w:tcPr>
                  <w:tcW w:w="728" w:type="dxa"/>
                  <w:vMerge w:val="continue"/>
                  <w:tcBorders>
                    <w:top w:val="nil"/>
                    <w:left w:val="single" w:color="000000" w:sz="4" w:space="0"/>
                    <w:bottom w:val="single" w:color="000000" w:sz="4" w:space="0"/>
                    <w:right w:val="single" w:color="000000" w:sz="4" w:space="0"/>
                  </w:tcBorders>
                </w:tcPr>
                <w:p/>
              </w:tc>
            </w:tr>
          </w:tbl>
          <w:p>
            <w:pPr>
              <w:pStyle w:val="4"/>
              <w:jc w:val="left"/>
            </w:pPr>
            <w:r>
              <w:rPr>
                <w:rFonts w:ascii="宋体" w:hAnsi="宋体" w:eastAsia="宋体" w:cs="宋体"/>
                <w:sz w:val="24"/>
              </w:rPr>
              <w:t>9.2 其他要求</w:t>
            </w:r>
          </w:p>
          <w:p>
            <w:pPr>
              <w:pStyle w:val="4"/>
              <w:jc w:val="left"/>
            </w:pPr>
            <w:r>
              <w:rPr>
                <w:rFonts w:ascii="宋体" w:hAnsi="宋体" w:eastAsia="宋体" w:cs="宋体"/>
                <w:sz w:val="24"/>
              </w:rPr>
              <w:t>供应商需提供承诺函并加盖公章，并作为合同条款的一部分。承诺函应包括以下内容：</w:t>
            </w:r>
          </w:p>
          <w:p>
            <w:pPr>
              <w:pStyle w:val="4"/>
              <w:jc w:val="left"/>
            </w:pPr>
            <w:r>
              <w:rPr>
                <w:rFonts w:ascii="宋体" w:hAnsi="宋体" w:eastAsia="宋体" w:cs="宋体"/>
                <w:sz w:val="24"/>
              </w:rPr>
              <w:t>（1）本项目服务人员不得更换，如出现因工作实际原因需更换的，必须向采购人提交书面申请，并详细说明更换的原因、替代人员的简历等，经采购人同意后，方可更换。</w:t>
            </w:r>
          </w:p>
          <w:p>
            <w:pPr>
              <w:pStyle w:val="4"/>
              <w:jc w:val="left"/>
            </w:pPr>
            <w:r>
              <w:rPr>
                <w:rFonts w:ascii="宋体" w:hAnsi="宋体" w:eastAsia="宋体" w:cs="宋体"/>
                <w:sz w:val="24"/>
              </w:rPr>
              <w:t>（2）在项目实施过程中接受采购人的管理和监督。</w:t>
            </w:r>
          </w:p>
          <w:p>
            <w:pPr>
              <w:pStyle w:val="4"/>
              <w:jc w:val="left"/>
            </w:pPr>
            <w:r>
              <w:rPr>
                <w:rFonts w:ascii="pingfang sc" w:hAnsi="pingfang sc" w:eastAsia="pingfang sc" w:cs="pingfang sc"/>
                <w:b/>
                <w:sz w:val="28"/>
              </w:rPr>
              <w:t>▲</w:t>
            </w:r>
            <w:r>
              <w:t>10、</w:t>
            </w:r>
            <w:r>
              <w:rPr>
                <w:rFonts w:ascii="宋体" w:hAnsi="宋体" w:eastAsia="宋体" w:cs="宋体"/>
                <w:b/>
                <w:sz w:val="28"/>
              </w:rPr>
              <w:t>服务配套设施设备要求（最终归属权归供应商）</w:t>
            </w:r>
          </w:p>
          <w:p>
            <w:pPr>
              <w:pStyle w:val="4"/>
              <w:jc w:val="left"/>
            </w:pPr>
            <w:r>
              <w:t xml:space="preserve"> </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451"/>
              <w:gridCol w:w="692"/>
              <w:gridCol w:w="1650"/>
              <w:gridCol w:w="6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序号</w:t>
                  </w:r>
                </w:p>
              </w:tc>
              <w:tc>
                <w:tcPr>
                  <w:tcW w:w="43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设备名称</w:t>
                  </w:r>
                </w:p>
              </w:tc>
              <w:tc>
                <w:tcPr>
                  <w:tcW w:w="27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数量（不少于）</w:t>
                  </w:r>
                </w:p>
              </w:tc>
              <w:tc>
                <w:tcPr>
                  <w:tcW w:w="90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b/>
                      <w:sz w:val="24"/>
                    </w:rPr>
                    <w:t>要求</w:t>
                  </w:r>
                </w:p>
              </w:tc>
              <w:tc>
                <w:tcPr>
                  <w:tcW w:w="70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4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消杀车辆</w:t>
                  </w:r>
                </w:p>
              </w:tc>
              <w:tc>
                <w:tcPr>
                  <w:tcW w:w="2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1辆</w:t>
                  </w:r>
                </w:p>
              </w:tc>
              <w:tc>
                <w:tcPr>
                  <w:tcW w:w="9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能够合法在公路上行驶的机动车</w:t>
                  </w:r>
                </w:p>
              </w:tc>
              <w:tc>
                <w:tcPr>
                  <w:tcW w:w="7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供应商自有车辆需在响应文件中提供行驶证扫描件及车辆购买发票，非供应商自有车辆需提供驶证扫描件及车辆租赁协议，并加盖供应商公章。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4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热雾机</w:t>
                  </w:r>
                </w:p>
              </w:tc>
              <w:tc>
                <w:tcPr>
                  <w:tcW w:w="2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6台</w:t>
                  </w:r>
                </w:p>
              </w:tc>
              <w:tc>
                <w:tcPr>
                  <w:tcW w:w="9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1.雾滴直径：5微米</w:t>
                  </w:r>
                </w:p>
                <w:p>
                  <w:pPr>
                    <w:pStyle w:val="4"/>
                    <w:jc w:val="left"/>
                  </w:pPr>
                  <w:r>
                    <w:rPr>
                      <w:rFonts w:ascii="宋体" w:hAnsi="宋体" w:eastAsia="宋体" w:cs="宋体"/>
                      <w:sz w:val="24"/>
                    </w:rPr>
                    <w:t>2.药液输出量：0-42L/小时</w:t>
                  </w:r>
                </w:p>
                <w:p>
                  <w:pPr>
                    <w:pStyle w:val="4"/>
                    <w:jc w:val="left"/>
                  </w:pPr>
                  <w:r>
                    <w:rPr>
                      <w:rFonts w:ascii="宋体" w:hAnsi="宋体" w:eastAsia="宋体" w:cs="宋体"/>
                      <w:sz w:val="24"/>
                    </w:rPr>
                    <w:t>3.功率:11.6-22KW</w:t>
                  </w:r>
                </w:p>
                <w:p>
                  <w:pPr>
                    <w:pStyle w:val="4"/>
                    <w:jc w:val="left"/>
                  </w:pPr>
                  <w:r>
                    <w:rPr>
                      <w:rFonts w:ascii="宋体" w:hAnsi="宋体" w:eastAsia="宋体" w:cs="宋体"/>
                      <w:sz w:val="24"/>
                    </w:rPr>
                    <w:t>4.药箱容量：≥5L</w:t>
                  </w:r>
                </w:p>
              </w:tc>
              <w:tc>
                <w:tcPr>
                  <w:tcW w:w="704"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供应商需提供设备清单、图片及购买发票，非供应商自有设备需提供设备清单、图片及设备租赁协议并加盖供应商公章。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4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机动/电动背负式喷雾器</w:t>
                  </w:r>
                </w:p>
              </w:tc>
              <w:tc>
                <w:tcPr>
                  <w:tcW w:w="2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10台</w:t>
                  </w:r>
                </w:p>
              </w:tc>
              <w:tc>
                <w:tcPr>
                  <w:tcW w:w="9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1.雾滴直径：2-20微米。</w:t>
                  </w:r>
                </w:p>
                <w:p>
                  <w:pPr>
                    <w:pStyle w:val="4"/>
                    <w:jc w:val="left"/>
                  </w:pPr>
                  <w:r>
                    <w:rPr>
                      <w:rFonts w:ascii="宋体" w:hAnsi="宋体" w:eastAsia="宋体" w:cs="宋体"/>
                      <w:sz w:val="24"/>
                    </w:rPr>
                    <w:t>2.水平射程&gt;6米</w:t>
                  </w:r>
                </w:p>
              </w:tc>
              <w:tc>
                <w:tcPr>
                  <w:tcW w:w="704"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4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车载式/手推式喷雾器</w:t>
                  </w:r>
                </w:p>
              </w:tc>
              <w:tc>
                <w:tcPr>
                  <w:tcW w:w="2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5台</w:t>
                  </w:r>
                </w:p>
              </w:tc>
              <w:tc>
                <w:tcPr>
                  <w:tcW w:w="9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1.输出容量50-100公升/小时</w:t>
                  </w:r>
                </w:p>
                <w:p>
                  <w:pPr>
                    <w:pStyle w:val="4"/>
                    <w:jc w:val="left"/>
                  </w:pPr>
                  <w:r>
                    <w:rPr>
                      <w:rFonts w:ascii="宋体" w:hAnsi="宋体" w:eastAsia="宋体" w:cs="宋体"/>
                      <w:sz w:val="24"/>
                    </w:rPr>
                    <w:t>2.达距≥100米（受制于风速）</w:t>
                  </w:r>
                </w:p>
                <w:p>
                  <w:pPr>
                    <w:pStyle w:val="4"/>
                    <w:jc w:val="left"/>
                  </w:pPr>
                  <w:r>
                    <w:rPr>
                      <w:rFonts w:ascii="宋体" w:hAnsi="宋体" w:eastAsia="宋体" w:cs="宋体"/>
                      <w:sz w:val="24"/>
                    </w:rPr>
                    <w:t>3.雾滴80%&lt;40微米</w:t>
                  </w:r>
                </w:p>
                <w:p>
                  <w:pPr>
                    <w:pStyle w:val="4"/>
                    <w:jc w:val="left"/>
                  </w:pPr>
                  <w:r>
                    <w:rPr>
                      <w:rFonts w:ascii="宋体" w:hAnsi="宋体" w:eastAsia="宋体" w:cs="宋体"/>
                      <w:sz w:val="24"/>
                    </w:rPr>
                    <w:t>4.声量80分贝以下</w:t>
                  </w:r>
                </w:p>
              </w:tc>
              <w:tc>
                <w:tcPr>
                  <w:tcW w:w="704"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4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超低容量喷雾器</w:t>
                  </w:r>
                </w:p>
              </w:tc>
              <w:tc>
                <w:tcPr>
                  <w:tcW w:w="2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10台</w:t>
                  </w:r>
                </w:p>
              </w:tc>
              <w:tc>
                <w:tcPr>
                  <w:tcW w:w="9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left"/>
                  </w:pPr>
                  <w:r>
                    <w:rPr>
                      <w:rFonts w:ascii="宋体" w:hAnsi="宋体" w:eastAsia="宋体" w:cs="宋体"/>
                      <w:sz w:val="24"/>
                    </w:rPr>
                    <w:t>电机：直流无碳刷电机，600W；24V。</w:t>
                  </w:r>
                </w:p>
                <w:p>
                  <w:pPr>
                    <w:pStyle w:val="4"/>
                    <w:jc w:val="left"/>
                  </w:pPr>
                  <w:r>
                    <w:rPr>
                      <w:rFonts w:ascii="宋体" w:hAnsi="宋体" w:eastAsia="宋体" w:cs="宋体"/>
                      <w:sz w:val="24"/>
                    </w:rPr>
                    <w:t>2.雾滴直径：10-30微米。</w:t>
                  </w:r>
                </w:p>
                <w:p>
                  <w:pPr>
                    <w:pStyle w:val="4"/>
                    <w:jc w:val="left"/>
                  </w:pPr>
                  <w:r>
                    <w:rPr>
                      <w:rFonts w:ascii="宋体" w:hAnsi="宋体" w:eastAsia="宋体" w:cs="宋体"/>
                      <w:sz w:val="24"/>
                    </w:rPr>
                    <w:t>3.药液输出量ml/min：0-330连续可调。</w:t>
                  </w:r>
                </w:p>
                <w:p>
                  <w:pPr>
                    <w:pStyle w:val="4"/>
                    <w:jc w:val="left"/>
                  </w:pPr>
                  <w:r>
                    <w:rPr>
                      <w:rFonts w:ascii="宋体" w:hAnsi="宋体" w:eastAsia="宋体" w:cs="宋体"/>
                      <w:sz w:val="24"/>
                    </w:rPr>
                    <w:t>4.药箱容量：≥5L。</w:t>
                  </w:r>
                </w:p>
              </w:tc>
              <w:tc>
                <w:tcPr>
                  <w:tcW w:w="704" w:type="dxa"/>
                  <w:vMerge w:val="continue"/>
                  <w:tcBorders>
                    <w:top w:val="nil"/>
                    <w:left w:val="single" w:color="000000" w:sz="4" w:space="0"/>
                    <w:bottom w:val="single" w:color="000000" w:sz="4" w:space="0"/>
                    <w:right w:val="single" w:color="000000" w:sz="4" w:space="0"/>
                  </w:tcBorders>
                </w:tcPr>
                <w:p/>
              </w:tc>
            </w:tr>
          </w:tbl>
          <w:p>
            <w:pPr>
              <w:pStyle w:val="4"/>
              <w:jc w:val="left"/>
            </w:pP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详见服务要求</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详见服务要求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供应商需为本项目提供售后服务方案（包括但不限于：1、不同情况下的应急消杀方案2、服务响应时间及响应到场时间3、售后服务网点4、中毒处置方案等）此处对应评分标准</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雅安市荥经县范围内。</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本项目采购人将严格按照《财政部关于进一步加强政府采购需求和履约验收管理的指导意见》（财库〔2016〕205号）要求进行验收，并按国家有关规定以及采购人磋商文件的质量要求和技术指标及成交供应商的响应文件及承诺进行验收 2.巩固国家卫生县和春秋季消杀结果必须到达国家病媒生物密度控制《病媒生物控制水平--鼠类、蚊类、蝇类、蜚蠊》国家（C级）标准并通过四川省病媒生物防治达标验收检查。 3.病媒生物防制示范街道打造达到国家病媒生物密度控制《病媒生物控制水平--鼠类、蚊类、蝇类、蜚蠊》国家（B级）标准。</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3.3.5支付约定</w:t>
      </w:r>
    </w:p>
    <w:p>
      <w:pPr>
        <w:pStyle w:val="4"/>
      </w:pPr>
    </w:p>
    <w:p>
      <w:pPr>
        <w:pStyle w:val="4"/>
      </w:pPr>
    </w:p>
    <w:p>
      <w:pPr>
        <w:pStyle w:val="4"/>
      </w:pPr>
    </w:p>
    <w:p>
      <w:pPr>
        <w:pStyle w:val="4"/>
      </w:pPr>
      <w:r>
        <w:t>采购包1： 付款条件说明： 中标供应商待完成全年工作任务验收合格后（由疾控中心出具效果评估）（备注：支付前，成交人需提交付款申请，并提供增值税普通发票等相关资料进行款项支付。成交人出具的发票未经采购人财务部门审核通过的，采购人有权拒绝付款，并有权要求成交人承担因发票问题导致的所有损失和责任。） ，达到付款条件起 10 日内，支付合同总金额的 100.00%。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a、违约责任条款： （1）采购人及成交人双方必须遵守本合同并执行合同中的各项规定，保证本合同的正常履行。 （2）如因采购人工作人员在配合过程中的延迟、提交错误材料及信息、推诿等故意或过失原因造成成交人无法依照合同约定日完成材料交付的，造成成交人逾期的，成交人应向采购人以书面方式提出，经采购人核实属实后，成交人不承担相应逾期责任。 （3）如因成交人工作人员在履行职务过程中的疏忽、失职、过错等故意或者过失原因给采购人造成损失或侵害，包括但不限于采购人本身的财产损失、由此而导致的采购人对任何第三方的法律责任等，采购人因此受损的，成交人对此均应向采购人承担全部的赔偿责任。 （4）采购人应当按照约定支付成交人的服务费用。采购人逾期支付服务费的，每逾期一天以应付款为基数，按应付款的千分之五向成交人支付违约金，逾期付款超过30天的，成交人有权终止合同，并要求采购人支付全部工作费用及其利息。 （5）成交人逾期向采购人交付合同约定内容的，每逾期一天以应付款为基数，按应付款的千分之五向采购人支付违约金，逾期交付超过30天的，经协商无果，采购人有权终止合同，成交人须退还采购人未完成工作的费用及其利息（因采购人未履行配合义务的除外）。 （6）成交人应对自身违约和违法行为独自承担相应的法律责任，与采购人无关。 b、争议管辖： 在执行本合同中发生的或与本合同有关的争端，双方应通过友好协商解决，经协商在30天内不能达成协议时，应选择以下第 2 种解决方式： （1）提交成都仲裁委员会依照其现行有效的仲裁规则进行仲裁； （2）向采购人所在地有管辖权的法院提起诉讼，诉讼产生相应的费用应由败诉方负担。 在法院审理和仲裁期间，除有争议部分外，本合同其他部分可以履行的仍应按合同条款继续履行。</w:t>
      </w:r>
    </w:p>
    <w:p>
      <w:pPr>
        <w:pStyle w:val="4"/>
        <w:jc w:val="left"/>
        <w:outlineLvl w:val="2"/>
      </w:pPr>
      <w:r>
        <w:rPr>
          <w:b/>
          <w:sz w:val="28"/>
        </w:rPr>
        <w:t>3.4其他要求</w:t>
      </w:r>
    </w:p>
    <w:p>
      <w:pPr>
        <w:pStyle w:val="4"/>
      </w:pPr>
    </w:p>
    <w:p>
      <w:pPr>
        <w:pStyle w:val="4"/>
      </w:pPr>
    </w:p>
    <w:p>
      <w:pPr>
        <w:pStyle w:val="4"/>
      </w:pPr>
      <w:r>
        <w:t xml:space="preserve"> ★1.包装方式及运输：涉及的商品包装和快递包装，均应符合《商品包装政府采购需求标准（试行）》《快递包装政府采购需求标准（试行）》的要求，包装应适应于远距离运输、防潮、防震、防锈和防野蛮装卸，以确保货物安全无损运抵指定地点。 ★2.知识产权： 供应商所提供的服务或其任何一部分均不会侵犯任何第三方的专利权、商标权、著作权或其他合法权益，否则视为供应商违约，由此产生的一切损失由供应商承担，且采购人有权要求供应商支付本合同总价1%的违约金，并有权无条件解除本合同； ★3.保密要求： 供应商应对项目实施过程及实施过程中获取的所有相关数据、信息、企业资料、研究成果等材料保密，未经采购人书面允许，不得以任意形式传播或泄露相关信息，否则视为违约，供应商应承担因此产生的全部损失，且采购人有权要求供应商支付本合同总价1%的违约金，并有权无条件解除本合同</w:t>
      </w:r>
      <w:bookmarkStart w:id="0" w:name="_GoBack"/>
      <w:bookmarkEnd w:id="0"/>
      <w:r>
        <w:t>。同时采购人保留追究供应商侵权责任的权利。 4.说明（本说明无需供应商进行响应）：针对磋商文件第二章2.4.9中“供应商应按照客户端操作要求，对应磋商文件的每项实质性要求，逐一如实响应”，除磋商文件中的明确要求进行单独响应或承诺的实质性要求外，对于其他实质性要求，供应商在《投标（响应）函》中以“我单位完全接受和理解本项目采购文件规定的实质性要求”进行承诺即视为响应。 5.说明（本说明无需供应商进行响应）：因系统固化原因，采购文件第二章《供应商须知前附表》中“响应产品属于中国政府采购网公布的《无线局域网认证产品政府采购清单》且在有效期内的，按《财政部 国家发展改革委 信息产业部关于印发无线局域网产品政府采购实施意见的通知》（财库〔2005〕366号）要求优先采购。”不适用于本项目。</w:t>
      </w:r>
    </w:p>
    <w:p>
      <w:pPr>
        <w:pStyle w:val="4"/>
      </w:pPr>
    </w:p>
    <w:p>
      <w:pPr>
        <w:pStyle w:val="4"/>
      </w:pP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ZWJhYThmMDk1MDAzMTA1ZTc4NzUxNTA3ZWFhODgifQ=="/>
  </w:docVars>
  <w:rsids>
    <w:rsidRoot w:val="00000000"/>
    <w:rsid w:val="5A240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2024-04-12T08:06:04Z</dcterms:created>
  <dc:creator>Administrator</dc:creator>
  <cp:lastModifiedBy>nicollee</cp:lastModifiedBy>
  <dcterms:modified xsi:type="dcterms:W3CDTF">2024-04-12T08:06:43Z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A00F7CAA2CFC4D848FE2947045F21EC6_12</vt:lpwstr>
  </property>
</Properties>
</file>