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ascii="宋体" w:cs="宋体"/>
          <w:b/>
          <w:bCs/>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88"/>
        <w:jc w:val="center"/>
        <w:rPr>
          <w:rFonts w:hint="eastAsia" w:ascii="宋体" w:cs="宋体"/>
          <w:b/>
          <w:bCs/>
          <w:kern w:val="0"/>
          <w:sz w:val="48"/>
          <w:szCs w:val="48"/>
          <w:lang w:eastAsia="zh-CN"/>
        </w:rPr>
      </w:pPr>
      <w:r>
        <w:rPr>
          <w:rFonts w:hint="eastAsia" w:ascii="宋体" w:cs="宋体"/>
          <w:b/>
          <w:bCs/>
          <w:kern w:val="0"/>
          <w:sz w:val="48"/>
          <w:szCs w:val="48"/>
          <w:lang w:eastAsia="zh-CN"/>
        </w:rPr>
        <w:t>温岭市新河镇2024年度病媒生物防制</w:t>
      </w:r>
    </w:p>
    <w:p>
      <w:pPr>
        <w:pStyle w:val="2"/>
        <w:jc w:val="center"/>
      </w:pPr>
      <w:r>
        <w:rPr>
          <w:rFonts w:hint="eastAsia" w:ascii="宋体" w:cs="宋体"/>
          <w:b/>
          <w:bCs/>
          <w:kern w:val="0"/>
          <w:sz w:val="48"/>
          <w:szCs w:val="48"/>
          <w:lang w:eastAsia="zh-CN"/>
        </w:rPr>
        <w:t>专业化服务项目采购</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rPr>
          <w:rFonts w:ascii="宋体" w:cs="宋体"/>
          <w:b/>
          <w:bCs/>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cs="宋体"/>
          <w:b/>
          <w:bCs/>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bCs/>
          <w:kern w:val="0"/>
          <w:sz w:val="96"/>
          <w:szCs w:val="96"/>
        </w:rPr>
      </w:pPr>
      <w:r>
        <w:rPr>
          <w:rFonts w:hint="eastAsia" w:ascii="宋体" w:cs="宋体"/>
          <w:b/>
          <w:bCs/>
          <w:kern w:val="0"/>
          <w:sz w:val="96"/>
          <w:szCs w:val="96"/>
        </w:rPr>
        <w:t>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sz w:val="24"/>
          <w:szCs w:val="24"/>
        </w:rPr>
      </w:pPr>
      <w:r>
        <w:rPr>
          <w:rFonts w:hint="eastAsia" w:ascii="宋体" w:hAnsi="宋体"/>
          <w:b/>
          <w:sz w:val="36"/>
        </w:rPr>
        <w:t xml:space="preserve"> （线上电子招投标）</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宋体" w:cs="宋体"/>
          <w:kern w:val="0"/>
          <w:sz w:val="32"/>
          <w:szCs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560" w:firstLineChars="800"/>
        <w:jc w:val="left"/>
        <w:rPr>
          <w:rFonts w:hint="eastAsia" w:ascii="宋体" w:eastAsia="宋体"/>
          <w:kern w:val="0"/>
          <w:sz w:val="32"/>
          <w:szCs w:val="32"/>
          <w:lang w:eastAsia="zh-CN"/>
        </w:rPr>
      </w:pPr>
      <w:r>
        <w:rPr>
          <w:rFonts w:hint="eastAsia" w:ascii="宋体" w:cs="宋体"/>
          <w:kern w:val="0"/>
          <w:sz w:val="32"/>
          <w:szCs w:val="32"/>
        </w:rPr>
        <w:t>项目编号：</w:t>
      </w:r>
      <w:r>
        <w:rPr>
          <w:rFonts w:hint="eastAsia" w:ascii="宋体" w:hAnsi="宋体" w:cs="宋体"/>
          <w:kern w:val="0"/>
          <w:sz w:val="32"/>
          <w:szCs w:val="32"/>
          <w:lang w:eastAsia="zh-CN"/>
        </w:rPr>
        <w:t>JJWL24031981</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szCs w:val="24"/>
        </w:rPr>
      </w:pPr>
    </w:p>
    <w:p>
      <w:pPr>
        <w:autoSpaceDE w:val="0"/>
        <w:autoSpaceDN w:val="0"/>
        <w:adjustRightInd w:val="0"/>
        <w:spacing w:line="360" w:lineRule="auto"/>
        <w:rPr>
          <w:rFonts w:ascii="宋体"/>
          <w:b/>
          <w:bCs/>
          <w:kern w:val="0"/>
          <w:sz w:val="52"/>
          <w:szCs w:val="52"/>
        </w:rPr>
      </w:pPr>
    </w:p>
    <w:p>
      <w:pPr>
        <w:autoSpaceDE w:val="0"/>
        <w:autoSpaceDN w:val="0"/>
        <w:adjustRightInd w:val="0"/>
        <w:spacing w:line="360" w:lineRule="auto"/>
        <w:jc w:val="left"/>
        <w:rPr>
          <w:rFonts w:ascii="宋体"/>
          <w:kern w:val="0"/>
          <w:sz w:val="32"/>
          <w:szCs w:val="32"/>
        </w:rPr>
      </w:pPr>
    </w:p>
    <w:tbl>
      <w:tblPr>
        <w:tblStyle w:val="20"/>
        <w:tblW w:w="0" w:type="auto"/>
        <w:tblInd w:w="1137" w:type="dxa"/>
        <w:tblLayout w:type="fixed"/>
        <w:tblCellMar>
          <w:top w:w="0" w:type="dxa"/>
          <w:left w:w="108" w:type="dxa"/>
          <w:bottom w:w="0" w:type="dxa"/>
          <w:right w:w="108" w:type="dxa"/>
        </w:tblCellMar>
      </w:tblPr>
      <w:tblGrid>
        <w:gridCol w:w="2340"/>
        <w:gridCol w:w="4745"/>
      </w:tblGrid>
      <w:tr>
        <w:tblPrEx>
          <w:tblCellMar>
            <w:top w:w="0" w:type="dxa"/>
            <w:left w:w="108" w:type="dxa"/>
            <w:bottom w:w="0" w:type="dxa"/>
            <w:right w:w="108" w:type="dxa"/>
          </w:tblCellMar>
        </w:tblPrEx>
        <w:tc>
          <w:tcPr>
            <w:tcW w:w="2340" w:type="dxa"/>
          </w:tcPr>
          <w:p>
            <w:pPr>
              <w:widowControl/>
              <w:snapToGrid w:val="0"/>
              <w:spacing w:line="500" w:lineRule="exact"/>
              <w:jc w:val="distribute"/>
              <w:rPr>
                <w:rFonts w:ascii="宋体" w:hAnsi="宋体" w:cs="宋体"/>
                <w:sz w:val="32"/>
                <w:szCs w:val="32"/>
              </w:rPr>
            </w:pPr>
            <w:r>
              <w:rPr>
                <w:rFonts w:hint="eastAsia" w:ascii="宋体" w:hAnsi="宋体" w:cs="宋体"/>
                <w:kern w:val="0"/>
                <w:sz w:val="32"/>
                <w:szCs w:val="32"/>
              </w:rPr>
              <w:t>采购人：</w:t>
            </w:r>
          </w:p>
        </w:tc>
        <w:tc>
          <w:tcPr>
            <w:tcW w:w="4745" w:type="dxa"/>
          </w:tcPr>
          <w:p>
            <w:pPr>
              <w:widowControl/>
              <w:snapToGrid w:val="0"/>
              <w:spacing w:line="500" w:lineRule="exact"/>
              <w:rPr>
                <w:rFonts w:ascii="宋体" w:hAnsi="宋体" w:cs="宋体"/>
                <w:sz w:val="32"/>
                <w:szCs w:val="32"/>
              </w:rPr>
            </w:pPr>
            <w:r>
              <w:rPr>
                <w:rFonts w:hint="eastAsia" w:ascii="宋体" w:hAnsi="宋体" w:cs="宋体"/>
                <w:kern w:val="0"/>
                <w:sz w:val="32"/>
                <w:szCs w:val="32"/>
              </w:rPr>
              <w:t xml:space="preserve">温岭市新河镇人民政府         </w:t>
            </w:r>
          </w:p>
        </w:tc>
      </w:tr>
      <w:tr>
        <w:tblPrEx>
          <w:tblCellMar>
            <w:top w:w="0" w:type="dxa"/>
            <w:left w:w="108" w:type="dxa"/>
            <w:bottom w:w="0" w:type="dxa"/>
            <w:right w:w="108" w:type="dxa"/>
          </w:tblCellMar>
        </w:tblPrEx>
        <w:trPr>
          <w:trHeight w:val="516" w:hRule="atLeast"/>
        </w:trPr>
        <w:tc>
          <w:tcPr>
            <w:tcW w:w="2340" w:type="dxa"/>
          </w:tcPr>
          <w:p>
            <w:pPr>
              <w:widowControl/>
              <w:snapToGrid w:val="0"/>
              <w:spacing w:line="500" w:lineRule="exact"/>
              <w:jc w:val="distribute"/>
              <w:rPr>
                <w:rFonts w:ascii="宋体" w:hAnsi="宋体" w:cs="宋体"/>
                <w:sz w:val="32"/>
                <w:szCs w:val="32"/>
              </w:rPr>
            </w:pPr>
            <w:r>
              <w:rPr>
                <w:rFonts w:hint="eastAsia" w:ascii="宋体" w:hAnsi="宋体" w:cs="宋体"/>
                <w:kern w:val="0"/>
                <w:sz w:val="32"/>
                <w:szCs w:val="32"/>
              </w:rPr>
              <w:t>采购代理机构：</w:t>
            </w:r>
          </w:p>
        </w:tc>
        <w:tc>
          <w:tcPr>
            <w:tcW w:w="4745" w:type="dxa"/>
          </w:tcPr>
          <w:p>
            <w:pPr>
              <w:widowControl/>
              <w:snapToGrid w:val="0"/>
              <w:spacing w:line="500" w:lineRule="exact"/>
              <w:rPr>
                <w:rFonts w:ascii="宋体" w:hAnsi="宋体" w:cs="宋体"/>
                <w:b/>
                <w:sz w:val="32"/>
                <w:szCs w:val="32"/>
              </w:rPr>
            </w:pPr>
            <w:r>
              <w:rPr>
                <w:rFonts w:hint="eastAsia" w:ascii="宋体" w:hAnsi="宋体" w:cs="宋体"/>
                <w:kern w:val="0"/>
                <w:sz w:val="32"/>
                <w:szCs w:val="32"/>
              </w:rPr>
              <w:t>建经投资咨询有限公司</w:t>
            </w:r>
          </w:p>
        </w:tc>
      </w:tr>
      <w:tr>
        <w:tblPrEx>
          <w:tblCellMar>
            <w:top w:w="0" w:type="dxa"/>
            <w:left w:w="108" w:type="dxa"/>
            <w:bottom w:w="0" w:type="dxa"/>
            <w:right w:w="108" w:type="dxa"/>
          </w:tblCellMar>
        </w:tblPrEx>
        <w:tc>
          <w:tcPr>
            <w:tcW w:w="2340" w:type="dxa"/>
          </w:tcPr>
          <w:p>
            <w:pPr>
              <w:widowControl/>
              <w:snapToGrid w:val="0"/>
              <w:spacing w:line="500" w:lineRule="exact"/>
              <w:jc w:val="distribute"/>
              <w:rPr>
                <w:rFonts w:ascii="宋体" w:hAnsi="宋体" w:cs="宋体"/>
                <w:sz w:val="32"/>
                <w:szCs w:val="32"/>
              </w:rPr>
            </w:pPr>
            <w:r>
              <w:rPr>
                <w:rFonts w:hint="eastAsia" w:ascii="宋体" w:hAnsi="宋体" w:cs="宋体"/>
                <w:kern w:val="0"/>
                <w:sz w:val="32"/>
                <w:szCs w:val="32"/>
              </w:rPr>
              <w:t>备案单位：</w:t>
            </w:r>
          </w:p>
        </w:tc>
        <w:tc>
          <w:tcPr>
            <w:tcW w:w="4745" w:type="dxa"/>
          </w:tcPr>
          <w:p>
            <w:pPr>
              <w:widowControl/>
              <w:snapToGrid w:val="0"/>
              <w:spacing w:line="500" w:lineRule="exact"/>
              <w:rPr>
                <w:rFonts w:ascii="宋体" w:hAnsi="宋体" w:cs="宋体"/>
                <w:sz w:val="32"/>
                <w:szCs w:val="32"/>
              </w:rPr>
            </w:pPr>
            <w:r>
              <w:rPr>
                <w:rFonts w:hint="eastAsia" w:ascii="宋体" w:hAnsi="宋体" w:cs="宋体"/>
                <w:kern w:val="0"/>
                <w:sz w:val="32"/>
                <w:szCs w:val="32"/>
              </w:rPr>
              <w:t>温岭市财政局政府采购监管科</w:t>
            </w:r>
          </w:p>
        </w:tc>
      </w:tr>
      <w:tr>
        <w:tblPrEx>
          <w:tblCellMar>
            <w:top w:w="0" w:type="dxa"/>
            <w:left w:w="108" w:type="dxa"/>
            <w:bottom w:w="0" w:type="dxa"/>
            <w:right w:w="108" w:type="dxa"/>
          </w:tblCellMar>
        </w:tblPrEx>
        <w:trPr>
          <w:trHeight w:val="716" w:hRule="atLeast"/>
        </w:trPr>
        <w:tc>
          <w:tcPr>
            <w:tcW w:w="7085" w:type="dxa"/>
            <w:gridSpan w:val="2"/>
          </w:tcPr>
          <w:p>
            <w:pPr>
              <w:widowControl/>
              <w:snapToGrid w:val="0"/>
              <w:spacing w:beforeLines="50" w:line="500" w:lineRule="exact"/>
              <w:jc w:val="center"/>
              <w:rPr>
                <w:rFonts w:ascii="宋体" w:hAnsi="宋体" w:cs="宋体"/>
                <w:spacing w:val="24"/>
                <w:sz w:val="32"/>
                <w:szCs w:val="32"/>
              </w:rPr>
            </w:pPr>
            <w:r>
              <w:rPr>
                <w:rFonts w:hint="eastAsia" w:ascii="宋体" w:hAnsi="宋体" w:cs="宋体"/>
                <w:spacing w:val="24"/>
                <w:kern w:val="0"/>
                <w:sz w:val="32"/>
                <w:szCs w:val="32"/>
                <w:highlight w:val="none"/>
              </w:rPr>
              <w:t>二○二</w:t>
            </w:r>
            <w:r>
              <w:rPr>
                <w:rFonts w:hint="eastAsia" w:ascii="宋体" w:hAnsi="宋体" w:cs="宋体"/>
                <w:spacing w:val="24"/>
                <w:kern w:val="0"/>
                <w:sz w:val="32"/>
                <w:szCs w:val="32"/>
                <w:highlight w:val="none"/>
                <w:lang w:eastAsia="zh-CN"/>
              </w:rPr>
              <w:t>四</w:t>
            </w:r>
            <w:r>
              <w:rPr>
                <w:rFonts w:hint="eastAsia" w:ascii="宋体" w:hAnsi="宋体" w:cs="宋体"/>
                <w:spacing w:val="24"/>
                <w:kern w:val="0"/>
                <w:sz w:val="32"/>
                <w:szCs w:val="32"/>
                <w:highlight w:val="none"/>
              </w:rPr>
              <w:t>年</w:t>
            </w:r>
            <w:r>
              <w:rPr>
                <w:rFonts w:hint="eastAsia" w:ascii="宋体" w:hAnsi="宋体" w:cs="宋体"/>
                <w:spacing w:val="24"/>
                <w:kern w:val="0"/>
                <w:sz w:val="32"/>
                <w:szCs w:val="32"/>
                <w:highlight w:val="none"/>
                <w:lang w:eastAsia="zh-CN"/>
              </w:rPr>
              <w:t>四</w:t>
            </w:r>
            <w:r>
              <w:rPr>
                <w:rFonts w:hint="eastAsia" w:ascii="宋体" w:hAnsi="宋体" w:cs="宋体"/>
                <w:spacing w:val="24"/>
                <w:kern w:val="0"/>
                <w:sz w:val="32"/>
                <w:szCs w:val="32"/>
                <w:highlight w:val="none"/>
              </w:rPr>
              <w:t>月</w:t>
            </w:r>
          </w:p>
        </w:tc>
      </w:tr>
    </w:tbl>
    <w:p>
      <w:pPr>
        <w:pStyle w:val="18"/>
        <w:sectPr>
          <w:headerReference r:id="rId3" w:type="default"/>
          <w:footerReference r:id="rId4" w:type="default"/>
          <w:pgSz w:w="11906" w:h="16838"/>
          <w:pgMar w:top="1588" w:right="1797" w:bottom="1304" w:left="1797" w:header="851" w:footer="992" w:gutter="0"/>
          <w:pgNumType w:start="1"/>
          <w:cols w:space="720" w:num="1"/>
          <w:docGrid w:type="lines" w:linePitch="312" w:charSpace="0"/>
        </w:sectPr>
      </w:pPr>
    </w:p>
    <w:p/>
    <w:sdt>
      <w:sdtPr>
        <w:rPr>
          <w:rFonts w:hint="eastAsia" w:ascii="宋体" w:hAnsi="宋体" w:cs="宋体"/>
          <w:b/>
          <w:bCs/>
          <w:sz w:val="48"/>
          <w:szCs w:val="48"/>
        </w:rPr>
        <w:id w:val="147481734"/>
        <w:docPartObj>
          <w:docPartGallery w:val="Table of Contents"/>
          <w:docPartUnique/>
        </w:docPartObj>
      </w:sdtPr>
      <w:sdtEndPr>
        <w:rPr>
          <w:rFonts w:hint="eastAsia" w:ascii="Times New Roman" w:hAnsi="Times New Roman" w:cs="Times New Roman"/>
          <w:b/>
          <w:bCs/>
          <w:sz w:val="21"/>
          <w:szCs w:val="21"/>
        </w:rPr>
      </w:sdtEndPr>
      <w:sdtContent>
        <w:p>
          <w:pPr>
            <w:jc w:val="center"/>
            <w:rPr>
              <w:rFonts w:ascii="宋体" w:hAnsi="宋体" w:cs="宋体"/>
              <w:b/>
              <w:bCs/>
              <w:sz w:val="48"/>
              <w:szCs w:val="48"/>
            </w:rPr>
          </w:pPr>
          <w:r>
            <w:rPr>
              <w:rFonts w:hint="eastAsia" w:ascii="宋体" w:hAnsi="宋体" w:cs="宋体"/>
              <w:b/>
              <w:bCs/>
              <w:sz w:val="48"/>
              <w:szCs w:val="48"/>
            </w:rPr>
            <w:t>目  录</w:t>
          </w:r>
        </w:p>
        <w:p>
          <w:pPr>
            <w:pStyle w:val="60"/>
            <w:tabs>
              <w:tab w:val="right" w:leader="dot" w:pos="8448"/>
            </w:tabs>
            <w:spacing w:line="480" w:lineRule="auto"/>
            <w:rPr>
              <w:sz w:val="24"/>
              <w:szCs w:val="24"/>
            </w:rPr>
          </w:pPr>
          <w:r>
            <w:fldChar w:fldCharType="begin"/>
          </w:r>
          <w:r>
            <w:instrText xml:space="preserve">TOC \o "1-1" \h \u </w:instrText>
          </w:r>
          <w:r>
            <w:fldChar w:fldCharType="separate"/>
          </w:r>
          <w:r>
            <w:fldChar w:fldCharType="begin"/>
          </w:r>
          <w:r>
            <w:instrText xml:space="preserve"> HYPERLINK \l "_Toc30135" </w:instrText>
          </w:r>
          <w:r>
            <w:fldChar w:fldCharType="separate"/>
          </w:r>
          <w:r>
            <w:rPr>
              <w:rFonts w:hint="eastAsia" w:ascii="宋体" w:hAnsi="宋体" w:cs="宋体"/>
              <w:bCs/>
              <w:sz w:val="24"/>
              <w:szCs w:val="48"/>
            </w:rPr>
            <w:t>第一章</w:t>
          </w:r>
          <w:r>
            <w:rPr>
              <w:rFonts w:ascii="宋体" w:hAnsi="宋体" w:cs="宋体"/>
              <w:bCs/>
              <w:sz w:val="24"/>
              <w:szCs w:val="48"/>
            </w:rPr>
            <w:t xml:space="preserve"> </w:t>
          </w:r>
          <w:r>
            <w:rPr>
              <w:rFonts w:hint="eastAsia" w:ascii="宋体" w:hAnsi="宋体" w:cs="宋体"/>
              <w:bCs/>
              <w:sz w:val="24"/>
              <w:szCs w:val="48"/>
            </w:rPr>
            <w:t>招标公告</w:t>
          </w:r>
          <w:r>
            <w:rPr>
              <w:sz w:val="24"/>
              <w:szCs w:val="24"/>
            </w:rPr>
            <w:tab/>
          </w:r>
          <w:r>
            <w:rPr>
              <w:sz w:val="24"/>
              <w:szCs w:val="24"/>
            </w:rPr>
            <w:fldChar w:fldCharType="begin"/>
          </w:r>
          <w:r>
            <w:rPr>
              <w:sz w:val="24"/>
              <w:szCs w:val="24"/>
            </w:rPr>
            <w:instrText xml:space="preserve"> PAGEREF _Toc30135 </w:instrText>
          </w:r>
          <w:r>
            <w:rPr>
              <w:sz w:val="24"/>
              <w:szCs w:val="24"/>
            </w:rPr>
            <w:fldChar w:fldCharType="separate"/>
          </w:r>
          <w:r>
            <w:rPr>
              <w:sz w:val="24"/>
              <w:szCs w:val="24"/>
            </w:rPr>
            <w:t>- 2 -</w:t>
          </w:r>
          <w:r>
            <w:rPr>
              <w:sz w:val="24"/>
              <w:szCs w:val="24"/>
            </w:rPr>
            <w:fldChar w:fldCharType="end"/>
          </w:r>
          <w:r>
            <w:rPr>
              <w:sz w:val="24"/>
              <w:szCs w:val="24"/>
            </w:rPr>
            <w:fldChar w:fldCharType="end"/>
          </w:r>
        </w:p>
        <w:p>
          <w:pPr>
            <w:pStyle w:val="60"/>
            <w:tabs>
              <w:tab w:val="right" w:leader="dot" w:pos="8448"/>
            </w:tabs>
            <w:spacing w:line="480" w:lineRule="auto"/>
            <w:rPr>
              <w:sz w:val="24"/>
              <w:szCs w:val="24"/>
            </w:rPr>
          </w:pPr>
          <w:r>
            <w:fldChar w:fldCharType="begin"/>
          </w:r>
          <w:r>
            <w:instrText xml:space="preserve"> HYPERLINK \l "_Toc32386" </w:instrText>
          </w:r>
          <w:r>
            <w:fldChar w:fldCharType="separate"/>
          </w:r>
          <w:r>
            <w:rPr>
              <w:rFonts w:hint="eastAsia" w:ascii="宋体" w:hAnsi="宋体" w:cs="宋体"/>
              <w:bCs/>
              <w:sz w:val="24"/>
              <w:szCs w:val="48"/>
            </w:rPr>
            <w:t>第二章 投标人须知</w:t>
          </w:r>
          <w:r>
            <w:rPr>
              <w:sz w:val="24"/>
              <w:szCs w:val="24"/>
            </w:rPr>
            <w:tab/>
          </w:r>
          <w:r>
            <w:rPr>
              <w:sz w:val="24"/>
              <w:szCs w:val="24"/>
            </w:rPr>
            <w:fldChar w:fldCharType="begin"/>
          </w:r>
          <w:r>
            <w:rPr>
              <w:sz w:val="24"/>
              <w:szCs w:val="24"/>
            </w:rPr>
            <w:instrText xml:space="preserve"> PAGEREF _Toc32386 </w:instrText>
          </w:r>
          <w:r>
            <w:rPr>
              <w:sz w:val="24"/>
              <w:szCs w:val="24"/>
            </w:rPr>
            <w:fldChar w:fldCharType="separate"/>
          </w:r>
          <w:r>
            <w:rPr>
              <w:sz w:val="24"/>
              <w:szCs w:val="24"/>
            </w:rPr>
            <w:t>- 7 -</w:t>
          </w:r>
          <w:r>
            <w:rPr>
              <w:sz w:val="24"/>
              <w:szCs w:val="24"/>
            </w:rPr>
            <w:fldChar w:fldCharType="end"/>
          </w:r>
          <w:r>
            <w:rPr>
              <w:sz w:val="24"/>
              <w:szCs w:val="24"/>
            </w:rPr>
            <w:fldChar w:fldCharType="end"/>
          </w:r>
        </w:p>
        <w:p>
          <w:pPr>
            <w:pStyle w:val="60"/>
            <w:tabs>
              <w:tab w:val="right" w:leader="dot" w:pos="8448"/>
            </w:tabs>
            <w:spacing w:line="480" w:lineRule="auto"/>
            <w:rPr>
              <w:sz w:val="24"/>
              <w:szCs w:val="24"/>
            </w:rPr>
          </w:pPr>
          <w:r>
            <w:fldChar w:fldCharType="begin"/>
          </w:r>
          <w:r>
            <w:instrText xml:space="preserve"> HYPERLINK \l "_Toc11236" </w:instrText>
          </w:r>
          <w:r>
            <w:fldChar w:fldCharType="separate"/>
          </w:r>
          <w:r>
            <w:rPr>
              <w:rFonts w:hint="eastAsia" w:ascii="宋体" w:hAnsi="宋体" w:cs="宋体"/>
              <w:bCs/>
              <w:sz w:val="24"/>
              <w:szCs w:val="48"/>
            </w:rPr>
            <w:t>第三章</w:t>
          </w:r>
          <w:r>
            <w:rPr>
              <w:rFonts w:ascii="宋体" w:hAnsi="宋体" w:cs="宋体"/>
              <w:bCs/>
              <w:sz w:val="24"/>
              <w:szCs w:val="48"/>
            </w:rPr>
            <w:t xml:space="preserve"> </w:t>
          </w:r>
          <w:r>
            <w:rPr>
              <w:rFonts w:hint="eastAsia" w:ascii="宋体" w:hAnsi="宋体" w:cs="宋体"/>
              <w:bCs/>
              <w:sz w:val="24"/>
              <w:szCs w:val="48"/>
            </w:rPr>
            <w:t>评标办法及评分标准</w:t>
          </w:r>
          <w:r>
            <w:rPr>
              <w:sz w:val="24"/>
              <w:szCs w:val="24"/>
            </w:rPr>
            <w:tab/>
          </w:r>
          <w:r>
            <w:rPr>
              <w:sz w:val="24"/>
              <w:szCs w:val="24"/>
            </w:rPr>
            <w:fldChar w:fldCharType="begin"/>
          </w:r>
          <w:r>
            <w:rPr>
              <w:sz w:val="24"/>
              <w:szCs w:val="24"/>
            </w:rPr>
            <w:instrText xml:space="preserve"> PAGEREF _Toc11236 </w:instrText>
          </w:r>
          <w:r>
            <w:rPr>
              <w:sz w:val="24"/>
              <w:szCs w:val="24"/>
            </w:rPr>
            <w:fldChar w:fldCharType="separate"/>
          </w:r>
          <w:r>
            <w:rPr>
              <w:sz w:val="24"/>
              <w:szCs w:val="24"/>
            </w:rPr>
            <w:t>- 23 -</w:t>
          </w:r>
          <w:r>
            <w:rPr>
              <w:sz w:val="24"/>
              <w:szCs w:val="24"/>
            </w:rPr>
            <w:fldChar w:fldCharType="end"/>
          </w:r>
          <w:r>
            <w:rPr>
              <w:sz w:val="24"/>
              <w:szCs w:val="24"/>
            </w:rPr>
            <w:fldChar w:fldCharType="end"/>
          </w:r>
        </w:p>
        <w:p>
          <w:pPr>
            <w:pStyle w:val="60"/>
            <w:tabs>
              <w:tab w:val="right" w:leader="dot" w:pos="8448"/>
            </w:tabs>
            <w:spacing w:line="480" w:lineRule="auto"/>
            <w:rPr>
              <w:sz w:val="24"/>
              <w:szCs w:val="24"/>
            </w:rPr>
          </w:pPr>
          <w:r>
            <w:fldChar w:fldCharType="begin"/>
          </w:r>
          <w:r>
            <w:instrText xml:space="preserve"> HYPERLINK \l "_Toc24146" </w:instrText>
          </w:r>
          <w:r>
            <w:fldChar w:fldCharType="separate"/>
          </w:r>
          <w:r>
            <w:rPr>
              <w:rFonts w:hint="eastAsia" w:ascii="宋体" w:hAnsi="宋体" w:cs="宋体"/>
              <w:bCs/>
              <w:sz w:val="24"/>
              <w:szCs w:val="48"/>
            </w:rPr>
            <w:t>第四章</w:t>
          </w:r>
          <w:r>
            <w:rPr>
              <w:rFonts w:ascii="宋体" w:hAnsi="宋体" w:cs="宋体"/>
              <w:bCs/>
              <w:sz w:val="24"/>
              <w:szCs w:val="48"/>
            </w:rPr>
            <w:t xml:space="preserve"> </w:t>
          </w:r>
          <w:r>
            <w:rPr>
              <w:rFonts w:hint="eastAsia" w:ascii="宋体" w:hAnsi="宋体" w:cs="宋体"/>
              <w:bCs/>
              <w:sz w:val="24"/>
              <w:szCs w:val="48"/>
            </w:rPr>
            <w:t>采购需求</w:t>
          </w:r>
          <w:r>
            <w:rPr>
              <w:sz w:val="24"/>
              <w:szCs w:val="24"/>
            </w:rPr>
            <w:tab/>
          </w:r>
          <w:r>
            <w:rPr>
              <w:sz w:val="24"/>
              <w:szCs w:val="24"/>
            </w:rPr>
            <w:fldChar w:fldCharType="begin"/>
          </w:r>
          <w:r>
            <w:rPr>
              <w:sz w:val="24"/>
              <w:szCs w:val="24"/>
            </w:rPr>
            <w:instrText xml:space="preserve"> PAGEREF _Toc24146 </w:instrText>
          </w:r>
          <w:r>
            <w:rPr>
              <w:sz w:val="24"/>
              <w:szCs w:val="24"/>
            </w:rPr>
            <w:fldChar w:fldCharType="separate"/>
          </w:r>
          <w:r>
            <w:rPr>
              <w:sz w:val="24"/>
              <w:szCs w:val="24"/>
            </w:rPr>
            <w:t>- 26 -</w:t>
          </w:r>
          <w:r>
            <w:rPr>
              <w:sz w:val="24"/>
              <w:szCs w:val="24"/>
            </w:rPr>
            <w:fldChar w:fldCharType="end"/>
          </w:r>
          <w:r>
            <w:rPr>
              <w:sz w:val="24"/>
              <w:szCs w:val="24"/>
            </w:rPr>
            <w:fldChar w:fldCharType="end"/>
          </w:r>
        </w:p>
        <w:p>
          <w:pPr>
            <w:pStyle w:val="60"/>
            <w:tabs>
              <w:tab w:val="right" w:leader="dot" w:pos="8448"/>
            </w:tabs>
            <w:spacing w:line="480" w:lineRule="auto"/>
            <w:rPr>
              <w:sz w:val="24"/>
              <w:szCs w:val="24"/>
            </w:rPr>
          </w:pPr>
          <w:r>
            <w:fldChar w:fldCharType="begin"/>
          </w:r>
          <w:r>
            <w:instrText xml:space="preserve"> HYPERLINK \l "_Toc3866" </w:instrText>
          </w:r>
          <w:r>
            <w:fldChar w:fldCharType="separate"/>
          </w:r>
          <w:r>
            <w:rPr>
              <w:rFonts w:hint="eastAsia" w:ascii="宋体" w:hAnsi="宋体" w:cs="宋体"/>
              <w:bCs/>
              <w:sz w:val="24"/>
              <w:szCs w:val="48"/>
            </w:rPr>
            <w:t>第五章</w:t>
          </w:r>
          <w:r>
            <w:rPr>
              <w:rFonts w:ascii="宋体" w:hAnsi="宋体" w:cs="宋体"/>
              <w:bCs/>
              <w:sz w:val="24"/>
              <w:szCs w:val="48"/>
            </w:rPr>
            <w:t xml:space="preserve"> </w:t>
          </w:r>
          <w:r>
            <w:rPr>
              <w:rFonts w:hint="eastAsia" w:ascii="宋体" w:hAnsi="宋体" w:cs="宋体"/>
              <w:bCs/>
              <w:sz w:val="24"/>
              <w:szCs w:val="48"/>
            </w:rPr>
            <w:t>合同文本</w:t>
          </w:r>
          <w:r>
            <w:rPr>
              <w:sz w:val="24"/>
              <w:szCs w:val="24"/>
            </w:rPr>
            <w:tab/>
          </w:r>
          <w:r>
            <w:rPr>
              <w:sz w:val="24"/>
              <w:szCs w:val="24"/>
            </w:rPr>
            <w:fldChar w:fldCharType="begin"/>
          </w:r>
          <w:r>
            <w:rPr>
              <w:sz w:val="24"/>
              <w:szCs w:val="24"/>
            </w:rPr>
            <w:instrText xml:space="preserve"> PAGEREF _Toc3866 </w:instrText>
          </w:r>
          <w:r>
            <w:rPr>
              <w:sz w:val="24"/>
              <w:szCs w:val="24"/>
            </w:rPr>
            <w:fldChar w:fldCharType="separate"/>
          </w:r>
          <w:r>
            <w:rPr>
              <w:sz w:val="24"/>
              <w:szCs w:val="24"/>
            </w:rPr>
            <w:t>- 30 -</w:t>
          </w:r>
          <w:r>
            <w:rPr>
              <w:sz w:val="24"/>
              <w:szCs w:val="24"/>
            </w:rPr>
            <w:fldChar w:fldCharType="end"/>
          </w:r>
          <w:r>
            <w:rPr>
              <w:sz w:val="24"/>
              <w:szCs w:val="24"/>
            </w:rPr>
            <w:fldChar w:fldCharType="end"/>
          </w:r>
        </w:p>
        <w:p>
          <w:pPr>
            <w:pStyle w:val="60"/>
            <w:tabs>
              <w:tab w:val="right" w:leader="dot" w:pos="8448"/>
            </w:tabs>
            <w:spacing w:line="480" w:lineRule="auto"/>
          </w:pPr>
          <w:r>
            <w:fldChar w:fldCharType="begin"/>
          </w:r>
          <w:r>
            <w:instrText xml:space="preserve"> HYPERLINK \l "_Toc19126" </w:instrText>
          </w:r>
          <w:r>
            <w:fldChar w:fldCharType="separate"/>
          </w:r>
          <w:r>
            <w:rPr>
              <w:rFonts w:hint="eastAsia" w:ascii="宋体" w:hAnsi="宋体" w:cs="宋体"/>
              <w:bCs/>
              <w:sz w:val="24"/>
              <w:szCs w:val="48"/>
            </w:rPr>
            <w:t>第六章</w:t>
          </w:r>
          <w:r>
            <w:rPr>
              <w:rFonts w:ascii="宋体" w:hAnsi="宋体" w:cs="宋体"/>
              <w:bCs/>
              <w:sz w:val="24"/>
              <w:szCs w:val="48"/>
            </w:rPr>
            <w:t xml:space="preserve"> </w:t>
          </w:r>
          <w:r>
            <w:rPr>
              <w:rFonts w:hint="eastAsia" w:ascii="宋体" w:hAnsi="宋体" w:cs="宋体"/>
              <w:bCs/>
              <w:sz w:val="24"/>
              <w:szCs w:val="48"/>
            </w:rPr>
            <w:t>投标文件格式附件</w:t>
          </w:r>
          <w:r>
            <w:rPr>
              <w:sz w:val="24"/>
              <w:szCs w:val="24"/>
            </w:rPr>
            <w:tab/>
          </w:r>
          <w:r>
            <w:rPr>
              <w:sz w:val="24"/>
              <w:szCs w:val="24"/>
            </w:rPr>
            <w:fldChar w:fldCharType="begin"/>
          </w:r>
          <w:r>
            <w:rPr>
              <w:sz w:val="24"/>
              <w:szCs w:val="24"/>
            </w:rPr>
            <w:instrText xml:space="preserve"> PAGEREF _Toc19126 </w:instrText>
          </w:r>
          <w:r>
            <w:rPr>
              <w:sz w:val="24"/>
              <w:szCs w:val="24"/>
            </w:rPr>
            <w:fldChar w:fldCharType="separate"/>
          </w:r>
          <w:r>
            <w:rPr>
              <w:sz w:val="24"/>
              <w:szCs w:val="24"/>
            </w:rPr>
            <w:t>- 35 -</w:t>
          </w:r>
          <w:r>
            <w:rPr>
              <w:sz w:val="24"/>
              <w:szCs w:val="24"/>
            </w:rPr>
            <w:fldChar w:fldCharType="end"/>
          </w:r>
          <w:r>
            <w:rPr>
              <w:sz w:val="24"/>
              <w:szCs w:val="24"/>
            </w:rPr>
            <w:fldChar w:fldCharType="end"/>
          </w:r>
        </w:p>
        <w:p>
          <w:pPr>
            <w:pStyle w:val="60"/>
            <w:tabs>
              <w:tab w:val="right" w:leader="dot" w:pos="8448"/>
            </w:tabs>
          </w:pPr>
        </w:p>
        <w:p>
          <w:pPr>
            <w:spacing w:line="360" w:lineRule="auto"/>
          </w:pPr>
          <w:r>
            <w:fldChar w:fldCharType="end"/>
          </w:r>
        </w:p>
      </w:sdtContent>
    </w:sdt>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widowControl/>
        <w:jc w:val="center"/>
        <w:outlineLvl w:val="0"/>
        <w:rPr>
          <w:rFonts w:ascii="宋体" w:cs="宋体"/>
          <w:b/>
          <w:bCs/>
          <w:kern w:val="0"/>
          <w:sz w:val="36"/>
          <w:szCs w:val="36"/>
        </w:rPr>
      </w:pPr>
      <w:r>
        <w:rPr>
          <w:rFonts w:ascii="宋体" w:cs="宋体"/>
          <w:b/>
          <w:bCs/>
          <w:kern w:val="0"/>
          <w:sz w:val="36"/>
          <w:szCs w:val="36"/>
        </w:rPr>
        <w:br w:type="page"/>
      </w:r>
      <w:bookmarkStart w:id="0" w:name="_Toc30135"/>
      <w:r>
        <w:rPr>
          <w:rFonts w:hint="eastAsia" w:ascii="宋体" w:hAnsi="宋体" w:cs="宋体"/>
          <w:b/>
          <w:bCs/>
          <w:kern w:val="0"/>
          <w:sz w:val="36"/>
          <w:szCs w:val="36"/>
        </w:rPr>
        <w:t>第一章</w:t>
      </w:r>
      <w:r>
        <w:rPr>
          <w:rFonts w:ascii="宋体" w:hAnsi="宋体" w:cs="宋体"/>
          <w:b/>
          <w:bCs/>
          <w:kern w:val="0"/>
          <w:sz w:val="36"/>
          <w:szCs w:val="36"/>
        </w:rPr>
        <w:t xml:space="preserve"> </w:t>
      </w:r>
      <w:r>
        <w:rPr>
          <w:rFonts w:hint="eastAsia" w:ascii="宋体" w:hAnsi="宋体" w:cs="宋体"/>
          <w:b/>
          <w:bCs/>
          <w:sz w:val="36"/>
          <w:szCs w:val="36"/>
        </w:rPr>
        <w:t>招标公告</w:t>
      </w:r>
      <w:bookmarkEnd w:id="0"/>
    </w:p>
    <w:tbl>
      <w:tblPr>
        <w:tblStyle w:val="20"/>
        <w:tblpPr w:leftFromText="180" w:rightFromText="180" w:vertAnchor="text" w:horzAnchor="page" w:tblpX="2001" w:tblpY="12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6" w:type="dxa"/>
          </w:tcPr>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napToGrid w:val="0"/>
              <w:spacing w:line="324" w:lineRule="auto"/>
              <w:jc w:val="left"/>
              <w:rPr>
                <w:rFonts w:ascii="宋体" w:cs="宋体"/>
                <w:kern w:val="0"/>
                <w:sz w:val="24"/>
                <w:szCs w:val="24"/>
              </w:rPr>
            </w:pPr>
            <w:r>
              <w:rPr>
                <w:rFonts w:hint="eastAsia" w:ascii="宋体" w:hAnsi="宋体" w:cs="宋体"/>
                <w:kern w:val="0"/>
                <w:sz w:val="24"/>
                <w:szCs w:val="24"/>
              </w:rPr>
              <w:t>项目概况</w:t>
            </w:r>
          </w:p>
          <w:p>
            <w:pPr>
              <w:pStyle w:val="27"/>
              <w:keepNext w:val="0"/>
              <w:keepLines w:val="0"/>
              <w:pageBreakBefore w:val="0"/>
              <w:kinsoku/>
              <w:wordWrap/>
              <w:overflowPunct/>
              <w:topLinePunct w:val="0"/>
              <w:bidi w:val="0"/>
              <w:snapToGrid w:val="0"/>
              <w:spacing w:line="324" w:lineRule="auto"/>
              <w:ind w:firstLine="480" w:firstLineChars="200"/>
              <w:rPr>
                <w:lang w:val="en-US"/>
              </w:rPr>
            </w:pPr>
            <w:r>
              <w:rPr>
                <w:rFonts w:hint="eastAsia" w:cs="宋体"/>
                <w:szCs w:val="24"/>
                <w:lang w:val="en-US" w:eastAsia="zh-CN"/>
              </w:rPr>
              <w:t>温岭市新河镇2024年度病媒生物防制专业化服务项目采购招标项目</w:t>
            </w:r>
            <w:r>
              <w:rPr>
                <w:rFonts w:hint="eastAsia" w:cs="宋体"/>
                <w:szCs w:val="24"/>
                <w:lang w:val="en-US"/>
              </w:rPr>
              <w:t>的潜在投标人应在浙江政府采购网本项目公告附件获取（下载）招标文件，并于</w:t>
            </w:r>
            <w:r>
              <w:rPr>
                <w:rFonts w:hint="eastAsia" w:cs="宋体"/>
                <w:szCs w:val="24"/>
                <w:lang w:val="en-US" w:eastAsia="zh-CN"/>
              </w:rPr>
              <w:t>2024</w:t>
            </w:r>
            <w:r>
              <w:rPr>
                <w:rFonts w:hint="eastAsia" w:cs="宋体"/>
                <w:szCs w:val="24"/>
                <w:lang w:val="en-US"/>
              </w:rPr>
              <w:t>年</w:t>
            </w:r>
            <w:r>
              <w:rPr>
                <w:rFonts w:hint="eastAsia" w:cs="宋体"/>
                <w:szCs w:val="24"/>
                <w:lang w:val="en-US" w:eastAsia="zh-CN"/>
              </w:rPr>
              <w:t xml:space="preserve">       5</w:t>
            </w:r>
            <w:r>
              <w:rPr>
                <w:rFonts w:hint="eastAsia" w:cs="宋体"/>
                <w:szCs w:val="24"/>
                <w:lang w:val="en-US"/>
              </w:rPr>
              <w:t>月</w:t>
            </w:r>
            <w:r>
              <w:rPr>
                <w:rFonts w:hint="eastAsia" w:cs="宋体"/>
                <w:szCs w:val="24"/>
                <w:lang w:val="en-US" w:eastAsia="zh-CN"/>
              </w:rPr>
              <w:t>11</w:t>
            </w:r>
            <w:r>
              <w:rPr>
                <w:rFonts w:hint="eastAsia" w:cs="宋体"/>
                <w:szCs w:val="24"/>
                <w:lang w:val="en-US"/>
              </w:rPr>
              <w:t>日</w:t>
            </w:r>
            <w:r>
              <w:rPr>
                <w:rFonts w:hint="eastAsia" w:cs="宋体"/>
                <w:szCs w:val="24"/>
                <w:lang w:val="en-US" w:eastAsia="zh-CN"/>
              </w:rPr>
              <w:t>14</w:t>
            </w:r>
            <w:r>
              <w:rPr>
                <w:rFonts w:hint="eastAsia" w:cs="宋体"/>
                <w:szCs w:val="24"/>
                <w:lang w:val="en-US"/>
              </w:rPr>
              <w:t>:</w:t>
            </w:r>
            <w:r>
              <w:rPr>
                <w:rFonts w:hint="eastAsia" w:cs="宋体"/>
                <w:szCs w:val="24"/>
                <w:lang w:val="en-US" w:eastAsia="zh-CN"/>
              </w:rPr>
              <w:t>00</w:t>
            </w:r>
            <w:r>
              <w:rPr>
                <w:rFonts w:hint="eastAsia" w:cs="宋体"/>
                <w:szCs w:val="24"/>
                <w:lang w:val="en-US"/>
              </w:rPr>
              <w:t>分（北京时间）前递交（上传）投标文件。</w:t>
            </w:r>
            <w:r>
              <w:rPr>
                <w:rFonts w:cs="宋体"/>
                <w:szCs w:val="24"/>
                <w:lang w:val="en-US"/>
              </w:rPr>
              <w:t xml:space="preserve">    </w:t>
            </w:r>
          </w:p>
        </w:tc>
      </w:tr>
    </w:tbl>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napToGrid w:val="0"/>
        <w:spacing w:line="324" w:lineRule="auto"/>
        <w:ind w:firstLine="480" w:firstLineChars="200"/>
        <w:jc w:val="left"/>
        <w:rPr>
          <w:rFonts w:ascii="宋体" w:cs="宋体"/>
          <w:b/>
          <w:bCs/>
          <w:kern w:val="0"/>
          <w:sz w:val="24"/>
          <w:szCs w:val="24"/>
        </w:rPr>
      </w:pPr>
      <w:r>
        <w:rPr>
          <w:rFonts w:hint="eastAsia" w:ascii="宋体" w:hAnsi="宋体" w:cs="宋体"/>
          <w:b/>
          <w:bCs/>
          <w:kern w:val="0"/>
          <w:sz w:val="24"/>
          <w:szCs w:val="24"/>
        </w:rPr>
        <w:t>一、项目基本情况</w:t>
      </w:r>
      <w:r>
        <w:rPr>
          <w:rFonts w:ascii="宋体" w:cs="宋体"/>
          <w:b/>
          <w:bCs/>
          <w:kern w:val="0"/>
          <w:sz w:val="24"/>
          <w:szCs w:val="24"/>
        </w:rPr>
        <w:t>  </w:t>
      </w:r>
      <w:r>
        <w:rPr>
          <w:rFonts w:ascii="宋体" w:hAnsi="宋体" w:cs="宋体"/>
          <w:b/>
          <w:bCs/>
          <w:kern w:val="0"/>
          <w:sz w:val="24"/>
          <w:szCs w:val="24"/>
        </w:rPr>
        <w:t xml:space="preserve">         </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hint="eastAsia" w:ascii="宋体" w:hAnsi="宋体" w:cs="宋体"/>
          <w:sz w:val="24"/>
          <w:szCs w:val="24"/>
        </w:rPr>
        <w:t>项目编号：</w:t>
      </w:r>
      <w:r>
        <w:rPr>
          <w:rFonts w:hint="eastAsia" w:ascii="宋体" w:hAnsi="宋体" w:cs="宋体"/>
          <w:sz w:val="24"/>
          <w:szCs w:val="24"/>
          <w:lang w:eastAsia="zh-CN"/>
        </w:rPr>
        <w:t>JJWL24031981</w:t>
      </w:r>
      <w:r>
        <w:rPr>
          <w:rFonts w:ascii="宋体" w:hAnsi="宋体" w:cs="宋体"/>
          <w:sz w:val="24"/>
          <w:szCs w:val="24"/>
        </w:rPr>
        <w:t> </w:t>
      </w:r>
    </w:p>
    <w:p>
      <w:pPr>
        <w:keepNext w:val="0"/>
        <w:keepLines w:val="0"/>
        <w:pageBreakBefore w:val="0"/>
        <w:kinsoku/>
        <w:wordWrap/>
        <w:overflowPunct/>
        <w:topLinePunct w:val="0"/>
        <w:bidi w:val="0"/>
        <w:snapToGrid w:val="0"/>
        <w:spacing w:line="324" w:lineRule="auto"/>
        <w:ind w:firstLine="480" w:firstLineChars="200"/>
        <w:rPr>
          <w:rFonts w:hint="eastAsia" w:ascii="宋体" w:eastAsia="宋体" w:cs="宋体"/>
          <w:sz w:val="24"/>
          <w:szCs w:val="24"/>
          <w:lang w:eastAsia="zh-CN"/>
        </w:rPr>
      </w:pPr>
      <w:r>
        <w:rPr>
          <w:rFonts w:hint="eastAsia" w:ascii="宋体" w:hAnsi="宋体" w:cs="宋体"/>
          <w:sz w:val="24"/>
          <w:szCs w:val="24"/>
        </w:rPr>
        <w:t>项目名称：</w:t>
      </w:r>
      <w:r>
        <w:rPr>
          <w:rFonts w:hint="eastAsia" w:ascii="宋体" w:hAnsi="宋体" w:cs="宋体"/>
          <w:sz w:val="24"/>
          <w:szCs w:val="24"/>
          <w:lang w:eastAsia="zh-CN"/>
        </w:rPr>
        <w:t>温岭市新河镇2024年度病媒生物防制专业化服务项目采购</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hint="eastAsia" w:ascii="宋体" w:hAnsi="宋体" w:cs="宋体"/>
          <w:sz w:val="24"/>
          <w:szCs w:val="24"/>
        </w:rPr>
        <w:t>预算金额（元）：</w:t>
      </w:r>
      <w:r>
        <w:rPr>
          <w:rFonts w:hint="eastAsia" w:ascii="宋体" w:hAnsi="宋体" w:cs="宋体"/>
          <w:sz w:val="24"/>
          <w:szCs w:val="24"/>
          <w:lang w:val="en-US" w:eastAsia="zh-CN"/>
        </w:rPr>
        <w:t>40</w:t>
      </w:r>
      <w:r>
        <w:rPr>
          <w:rFonts w:hint="eastAsia" w:ascii="宋体" w:hAnsi="宋体" w:cs="宋体"/>
          <w:sz w:val="24"/>
          <w:szCs w:val="24"/>
        </w:rPr>
        <w:t>0000</w:t>
      </w:r>
      <w:r>
        <w:rPr>
          <w:rFonts w:ascii="宋体" w:hAnsi="宋体" w:cs="宋体"/>
          <w:sz w:val="24"/>
          <w:szCs w:val="24"/>
        </w:rPr>
        <w:t>  </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hint="eastAsia" w:ascii="宋体" w:hAnsi="宋体" w:cs="宋体"/>
          <w:sz w:val="24"/>
          <w:szCs w:val="24"/>
        </w:rPr>
        <w:t>最高限价（元）</w:t>
      </w:r>
      <w:r>
        <w:rPr>
          <w:rFonts w:hint="eastAsia" w:ascii="宋体" w:hAnsi="宋体" w:cs="宋体"/>
          <w:sz w:val="24"/>
          <w:szCs w:val="24"/>
          <w:lang w:eastAsia="zh-CN"/>
        </w:rPr>
        <w:t>：</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hint="eastAsia" w:ascii="宋体" w:hAnsi="宋体" w:cs="宋体"/>
          <w:sz w:val="24"/>
          <w:szCs w:val="24"/>
        </w:rPr>
        <w:t>采购需求：</w:t>
      </w:r>
    </w:p>
    <w:p>
      <w:pPr>
        <w:keepNext w:val="0"/>
        <w:keepLines w:val="0"/>
        <w:pageBreakBefore w:val="0"/>
        <w:kinsoku/>
        <w:wordWrap/>
        <w:overflowPunct/>
        <w:topLinePunct w:val="0"/>
        <w:bidi w:val="0"/>
        <w:snapToGrid w:val="0"/>
        <w:spacing w:line="324" w:lineRule="auto"/>
        <w:ind w:left="478" w:leftChars="228"/>
        <w:rPr>
          <w:rFonts w:hint="eastAsia" w:ascii="宋体" w:hAnsi="宋体" w:cs="宋体"/>
          <w:sz w:val="24"/>
          <w:szCs w:val="24"/>
        </w:rPr>
      </w:pPr>
      <w:r>
        <w:rPr>
          <w:rFonts w:hint="eastAsia" w:ascii="宋体" w:hAnsi="宋体" w:cs="宋体"/>
          <w:b/>
          <w:bCs/>
          <w:sz w:val="24"/>
          <w:szCs w:val="24"/>
          <w:lang w:eastAsia="zh-CN"/>
        </w:rPr>
        <w:t>标项一</w:t>
      </w:r>
      <w:r>
        <w:rPr>
          <w:rFonts w:ascii="宋体" w:cs="宋体"/>
          <w:sz w:val="24"/>
          <w:szCs w:val="24"/>
        </w:rPr>
        <w:br w:type="textWrapping"/>
      </w:r>
      <w:r>
        <w:rPr>
          <w:rFonts w:hint="eastAsia" w:ascii="宋体" w:hAnsi="宋体" w:cs="宋体"/>
          <w:sz w:val="24"/>
          <w:szCs w:val="24"/>
        </w:rPr>
        <w:t>标段名称</w:t>
      </w:r>
      <w:r>
        <w:rPr>
          <w:rFonts w:hint="eastAsia" w:ascii="宋体" w:hAnsi="宋体" w:cs="宋体"/>
          <w:sz w:val="24"/>
          <w:szCs w:val="24"/>
          <w:lang w:eastAsia="zh-CN"/>
        </w:rPr>
        <w:t>：温岭市新河镇2024年度病媒生物防制专业化服务项目采购</w:t>
      </w:r>
      <w:r>
        <w:rPr>
          <w:rFonts w:ascii="宋体" w:cs="宋体"/>
          <w:sz w:val="24"/>
          <w:szCs w:val="24"/>
        </w:rPr>
        <w:t>  </w:t>
      </w:r>
      <w:r>
        <w:rPr>
          <w:rFonts w:ascii="宋体" w:cs="宋体"/>
          <w:sz w:val="24"/>
          <w:szCs w:val="24"/>
        </w:rPr>
        <w:br w:type="textWrapping"/>
      </w:r>
      <w:r>
        <w:rPr>
          <w:rFonts w:hint="eastAsia" w:ascii="宋体" w:hAnsi="宋体" w:cs="宋体"/>
          <w:sz w:val="24"/>
          <w:szCs w:val="24"/>
        </w:rPr>
        <w:t>数量</w:t>
      </w:r>
      <w:r>
        <w:rPr>
          <w:rFonts w:hint="eastAsia" w:ascii="宋体" w:hAnsi="宋体" w:cs="宋体"/>
          <w:sz w:val="24"/>
          <w:szCs w:val="24"/>
          <w:lang w:eastAsia="zh-CN"/>
        </w:rPr>
        <w:t>：</w:t>
      </w:r>
      <w:r>
        <w:rPr>
          <w:rFonts w:ascii="宋体" w:hAnsi="宋体" w:cs="宋体"/>
          <w:sz w:val="24"/>
          <w:szCs w:val="24"/>
        </w:rPr>
        <w:t> 1  </w:t>
      </w:r>
      <w:r>
        <w:rPr>
          <w:rFonts w:ascii="宋体" w:hAnsi="宋体" w:cs="宋体"/>
          <w:sz w:val="24"/>
          <w:szCs w:val="24"/>
        </w:rPr>
        <w:br w:type="textWrapping"/>
      </w:r>
      <w:r>
        <w:rPr>
          <w:rFonts w:hint="eastAsia" w:ascii="宋体" w:hAnsi="宋体" w:cs="宋体"/>
          <w:sz w:val="24"/>
          <w:szCs w:val="24"/>
        </w:rPr>
        <w:t>预算金额（元）</w:t>
      </w:r>
      <w:r>
        <w:rPr>
          <w:rFonts w:ascii="宋体" w:hAnsi="宋体" w:cs="宋体"/>
          <w:sz w:val="24"/>
          <w:szCs w:val="24"/>
        </w:rPr>
        <w:t>:</w:t>
      </w:r>
      <w:r>
        <w:rPr>
          <w:rFonts w:hint="eastAsia" w:ascii="宋体" w:hAnsi="宋体" w:cs="宋体"/>
          <w:sz w:val="24"/>
          <w:szCs w:val="24"/>
          <w:lang w:val="en-US" w:eastAsia="zh-CN"/>
        </w:rPr>
        <w:t>40</w:t>
      </w:r>
      <w:r>
        <w:rPr>
          <w:rFonts w:hint="eastAsia" w:ascii="宋体" w:hAnsi="宋体" w:cs="宋体"/>
          <w:sz w:val="24"/>
          <w:szCs w:val="24"/>
        </w:rPr>
        <w:t>0000</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hint="eastAsia" w:ascii="宋体" w:hAnsi="宋体" w:cs="宋体"/>
          <w:sz w:val="24"/>
          <w:szCs w:val="24"/>
        </w:rPr>
        <w:t>简要规格描述或项目基本概况介绍、用途：新河镇【</w:t>
      </w:r>
      <w:r>
        <w:rPr>
          <w:rFonts w:hint="eastAsia" w:ascii="宋体" w:hAnsi="宋体" w:cs="宋体"/>
          <w:sz w:val="24"/>
          <w:szCs w:val="24"/>
          <w:lang w:eastAsia="zh-CN"/>
        </w:rPr>
        <w:t>新河镇建成区消杀范围</w:t>
      </w:r>
      <w:r>
        <w:rPr>
          <w:rFonts w:hint="eastAsia" w:ascii="宋体" w:hAnsi="宋体" w:cs="宋体"/>
          <w:sz w:val="24"/>
          <w:szCs w:val="24"/>
        </w:rPr>
        <w:t>约</w:t>
      </w:r>
      <w:r>
        <w:rPr>
          <w:rFonts w:hint="eastAsia" w:ascii="宋体" w:hAnsi="宋体" w:cs="宋体"/>
          <w:sz w:val="24"/>
          <w:szCs w:val="24"/>
          <w:lang w:eastAsia="zh-CN"/>
        </w:rPr>
        <w:t>8.74平方公里（包含2个除四害村）</w:t>
      </w:r>
      <w:r>
        <w:rPr>
          <w:rFonts w:hint="eastAsia" w:ascii="宋体" w:hAnsi="宋体" w:cs="宋体"/>
          <w:sz w:val="24"/>
          <w:szCs w:val="24"/>
        </w:rPr>
        <w:t>；辖区内居民户约40952户（包括外来人口）】范围内的公共环境（包括居民楼、重点场所、垃圾收集点、建筑工地、绿化带、下水道、河岸边、窨井、水体、公园、闲置空地、地下室、地下车库、车棚雨棚、垃圾桶[箱]、公共厕所等）、企事业单位及六小行业【小餐饮店、小食品店（含小副食品店、小超市）、小美容美发店、小浴室（含小足浴）、小旅店、小歌舞厅等】至少3000家，农副产品市场（含菜市场）9个及其他沿街店铺等的除“四害”专业性治理服务（含居民户的灭蟑、蚊、蝇、鼠药物的供应约（40952）户）。详见第四章采购需求。</w:t>
      </w:r>
      <w:r>
        <w:rPr>
          <w:rFonts w:ascii="宋体" w:cs="宋体"/>
          <w:sz w:val="24"/>
          <w:szCs w:val="24"/>
        </w:rPr>
        <w:t>  </w:t>
      </w:r>
    </w:p>
    <w:p>
      <w:pPr>
        <w:keepNext w:val="0"/>
        <w:keepLines w:val="0"/>
        <w:pageBreakBefore w:val="0"/>
        <w:kinsoku/>
        <w:wordWrap/>
        <w:overflowPunct/>
        <w:topLinePunct w:val="0"/>
        <w:bidi w:val="0"/>
        <w:snapToGrid w:val="0"/>
        <w:spacing w:line="324" w:lineRule="auto"/>
        <w:ind w:firstLine="480" w:firstLineChars="200"/>
        <w:rPr>
          <w:rFonts w:ascii="宋体" w:hAnsi="宋体" w:cs="宋体"/>
          <w:sz w:val="24"/>
          <w:szCs w:val="24"/>
        </w:rPr>
      </w:pPr>
      <w:r>
        <w:rPr>
          <w:rFonts w:hint="eastAsia" w:ascii="宋体" w:hAnsi="宋体" w:cs="宋体"/>
          <w:sz w:val="24"/>
          <w:szCs w:val="24"/>
        </w:rPr>
        <w:t>合同履约期限：合同签订之日起一年。</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hint="eastAsia" w:ascii="宋体" w:hAnsi="宋体" w:cs="宋体"/>
          <w:sz w:val="24"/>
          <w:szCs w:val="24"/>
        </w:rPr>
        <w:t>本项目不接受联合体投标。</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napToGrid w:val="0"/>
        <w:spacing w:line="324" w:lineRule="auto"/>
        <w:ind w:firstLine="480" w:firstLineChars="200"/>
        <w:jc w:val="left"/>
        <w:rPr>
          <w:rFonts w:ascii="宋体" w:cs="宋体"/>
          <w:b/>
          <w:bCs/>
          <w:kern w:val="0"/>
          <w:sz w:val="24"/>
          <w:szCs w:val="24"/>
        </w:rPr>
      </w:pPr>
      <w:r>
        <w:rPr>
          <w:rFonts w:hint="eastAsia" w:ascii="宋体" w:hAnsi="宋体" w:cs="宋体"/>
          <w:b/>
          <w:bCs/>
          <w:kern w:val="0"/>
          <w:sz w:val="24"/>
          <w:szCs w:val="24"/>
        </w:rPr>
        <w:t>二、申请人的资格要求：</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napToGrid w:val="0"/>
        <w:spacing w:line="324" w:lineRule="auto"/>
        <w:ind w:firstLine="480" w:firstLineChars="200"/>
        <w:jc w:val="left"/>
        <w:rPr>
          <w:rFonts w:ascii="宋体" w:cs="宋体"/>
          <w:sz w:val="24"/>
          <w:szCs w:val="24"/>
        </w:rPr>
      </w:pPr>
      <w:r>
        <w:rPr>
          <w:rFonts w:hint="eastAsia" w:ascii="宋体" w:hAnsi="宋体" w:cs="宋体"/>
          <w:sz w:val="24"/>
          <w:szCs w:val="24"/>
        </w:rPr>
        <w:t>（一）符合《中华人民共和国政府采购法》第二十二条规定的投标人资格条件。截止投标截止时间前（北京时间），投标人未被“信用中国”（</w:t>
      </w:r>
      <w:r>
        <w:rPr>
          <w:rFonts w:ascii="宋体" w:hAnsi="宋体" w:cs="宋体"/>
          <w:sz w:val="24"/>
          <w:szCs w:val="24"/>
        </w:rPr>
        <w:t>www.creditchina.gov.cn</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）列入失信被执行人、</w:t>
      </w:r>
      <w:r>
        <w:rPr>
          <w:rFonts w:hint="eastAsia" w:ascii="宋体" w:hAnsi="宋体" w:cs="宋体"/>
          <w:sz w:val="24"/>
          <w:szCs w:val="24"/>
          <w:lang w:eastAsia="zh-CN"/>
        </w:rPr>
        <w:t>重大税收违法失信主体</w:t>
      </w:r>
      <w:r>
        <w:rPr>
          <w:rFonts w:hint="eastAsia" w:ascii="宋体" w:hAnsi="宋体" w:cs="宋体"/>
          <w:sz w:val="24"/>
          <w:szCs w:val="24"/>
        </w:rPr>
        <w:t>、政府采购严重违法失信行为记录名单。</w:t>
      </w:r>
    </w:p>
    <w:p>
      <w:pPr>
        <w:tabs>
          <w:tab w:val="left" w:pos="180"/>
          <w:tab w:val="left" w:pos="360"/>
          <w:tab w:val="left" w:pos="540"/>
          <w:tab w:val="left" w:pos="8280"/>
        </w:tabs>
        <w:autoSpaceDE w:val="0"/>
        <w:autoSpaceDN w:val="0"/>
        <w:adjustRightInd w:val="0"/>
        <w:snapToGrid w:val="0"/>
        <w:spacing w:line="440" w:lineRule="exact"/>
        <w:ind w:firstLine="480" w:firstLineChars="200"/>
        <w:jc w:val="left"/>
        <w:rPr>
          <w:rFonts w:ascii="宋体" w:hAnsi="宋体" w:cs="宋体"/>
          <w:b/>
          <w:bCs/>
          <w:color w:val="FF0000"/>
          <w:kern w:val="0"/>
          <w:sz w:val="24"/>
          <w:szCs w:val="24"/>
        </w:rPr>
      </w:pPr>
      <w:r>
        <w:rPr>
          <w:rFonts w:hint="eastAsia" w:ascii="宋体" w:hAnsi="宋体" w:cs="宋体"/>
          <w:sz w:val="24"/>
          <w:szCs w:val="24"/>
        </w:rPr>
        <w:t>（二）</w:t>
      </w:r>
      <w:r>
        <w:rPr>
          <w:rFonts w:hint="eastAsia" w:ascii="宋体" w:hAnsi="宋体" w:cs="宋体"/>
          <w:b/>
          <w:bCs/>
          <w:color w:val="FF0000"/>
          <w:kern w:val="0"/>
          <w:sz w:val="24"/>
          <w:szCs w:val="24"/>
        </w:rPr>
        <w:t>落实政府采购政策需满足的资格要求：本项目按照《政府采购促进中小企业发展管理办法》【财库（2020）46号】第七条规定：专门面向中小企业采购；</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napToGrid w:val="0"/>
        <w:spacing w:line="324" w:lineRule="auto"/>
        <w:ind w:firstLine="480" w:firstLineChars="200"/>
        <w:jc w:val="left"/>
        <w:rPr>
          <w:rFonts w:ascii="宋体" w:cs="宋体"/>
          <w:kern w:val="0"/>
          <w:sz w:val="24"/>
          <w:szCs w:val="24"/>
        </w:rPr>
      </w:pPr>
      <w:r>
        <w:rPr>
          <w:rFonts w:hint="eastAsia" w:ascii="宋体" w:hAnsi="宋体" w:cs="宋体"/>
          <w:kern w:val="0"/>
          <w:sz w:val="24"/>
          <w:szCs w:val="24"/>
        </w:rPr>
        <w:t>（三）单位负责人为同一人或者存在直接控股、管理关系的不同供应商，不得参加同一合同项下的政府采购活动。</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napToGrid w:val="0"/>
        <w:spacing w:line="324" w:lineRule="auto"/>
        <w:ind w:firstLine="480" w:firstLineChars="200"/>
        <w:jc w:val="left"/>
        <w:rPr>
          <w:rFonts w:ascii="宋体" w:cs="宋体"/>
          <w:sz w:val="24"/>
          <w:szCs w:val="24"/>
        </w:rPr>
      </w:pPr>
      <w:r>
        <w:rPr>
          <w:rFonts w:hint="eastAsia" w:ascii="宋体" w:hAnsi="宋体" w:cs="宋体"/>
          <w:sz w:val="24"/>
          <w:szCs w:val="24"/>
        </w:rPr>
        <w:t>（四）为采购项目提供整体设计、规范编制或者项目管理、监理、检测等服务的供应商，不得再参加该采购项目的其他采购活动。</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napToGrid w:val="0"/>
        <w:spacing w:line="324" w:lineRule="auto"/>
        <w:ind w:firstLine="480" w:firstLineChars="200"/>
        <w:jc w:val="left"/>
        <w:rPr>
          <w:rFonts w:ascii="宋体" w:cs="宋体"/>
          <w:sz w:val="24"/>
          <w:szCs w:val="24"/>
        </w:rPr>
      </w:pPr>
      <w:r>
        <w:rPr>
          <w:rFonts w:hint="eastAsia" w:ascii="宋体" w:hAnsi="宋体" w:cs="宋体"/>
          <w:sz w:val="24"/>
          <w:szCs w:val="24"/>
        </w:rPr>
        <w:t>（五）公益一类事业单位不属于政府购买服务的承接主体，不得参与承接政府购买服务。</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napToGrid w:val="0"/>
        <w:spacing w:line="324" w:lineRule="auto"/>
        <w:ind w:firstLine="480" w:firstLineChars="200"/>
        <w:jc w:val="left"/>
        <w:rPr>
          <w:rFonts w:ascii="宋体" w:cs="宋体"/>
          <w:b/>
          <w:bCs/>
          <w:sz w:val="24"/>
          <w:szCs w:val="24"/>
        </w:rPr>
      </w:pPr>
      <w:r>
        <w:rPr>
          <w:rFonts w:hint="eastAsia" w:ascii="宋体" w:hAnsi="宋体" w:cs="宋体"/>
          <w:b/>
          <w:bCs/>
          <w:sz w:val="24"/>
          <w:szCs w:val="24"/>
        </w:rPr>
        <w:t>三、获取招标文件：</w:t>
      </w:r>
      <w:r>
        <w:rPr>
          <w:rFonts w:ascii="宋体" w:hAnsi="宋体" w:cs="宋体"/>
          <w:b/>
          <w:bCs/>
          <w:sz w:val="24"/>
          <w:szCs w:val="24"/>
        </w:rPr>
        <w:t xml:space="preserve"> </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hint="eastAsia" w:ascii="宋体" w:hAnsi="宋体" w:cs="宋体"/>
          <w:sz w:val="24"/>
          <w:szCs w:val="24"/>
        </w:rPr>
        <w:t>（一）获取时间：公告发布之日起</w:t>
      </w:r>
      <w:r>
        <w:rPr>
          <w:rFonts w:hint="eastAsia" w:ascii="宋体" w:hAnsi="宋体" w:cs="宋体"/>
          <w:sz w:val="24"/>
          <w:szCs w:val="24"/>
          <w:highlight w:val="none"/>
        </w:rPr>
        <w:t>至</w:t>
      </w:r>
      <w:r>
        <w:rPr>
          <w:rFonts w:hint="eastAsia" w:ascii="宋体" w:hAnsi="宋体" w:cs="宋体"/>
          <w:sz w:val="24"/>
          <w:szCs w:val="24"/>
          <w:highlight w:val="none"/>
          <w:lang w:eastAsia="zh-CN"/>
        </w:rPr>
        <w:t>2024年</w:t>
      </w:r>
      <w:r>
        <w:rPr>
          <w:rFonts w:hint="eastAsia" w:ascii="宋体" w:hAnsi="宋体" w:cs="宋体"/>
          <w:sz w:val="24"/>
          <w:szCs w:val="24"/>
          <w:highlight w:val="none"/>
          <w:lang w:val="en-US" w:eastAsia="zh-CN"/>
        </w:rPr>
        <w:t>5</w:t>
      </w:r>
      <w:r>
        <w:rPr>
          <w:rFonts w:hint="eastAsia" w:ascii="宋体" w:hAnsi="宋体" w:cs="宋体"/>
          <w:sz w:val="24"/>
          <w:szCs w:val="24"/>
          <w:highlight w:val="none"/>
          <w:lang w:eastAsia="zh-CN"/>
        </w:rPr>
        <w:t>月</w:t>
      </w:r>
      <w:r>
        <w:rPr>
          <w:rFonts w:hint="eastAsia" w:ascii="宋体" w:hAnsi="宋体" w:cs="宋体"/>
          <w:sz w:val="24"/>
          <w:szCs w:val="24"/>
          <w:highlight w:val="none"/>
          <w:lang w:val="en-US" w:eastAsia="zh-CN"/>
        </w:rPr>
        <w:t>11</w:t>
      </w:r>
      <w:r>
        <w:rPr>
          <w:rFonts w:hint="eastAsia" w:ascii="宋体" w:hAnsi="宋体" w:cs="宋体"/>
          <w:sz w:val="24"/>
          <w:szCs w:val="24"/>
          <w:highlight w:val="none"/>
          <w:lang w:eastAsia="zh-CN"/>
        </w:rPr>
        <w:t>日</w:t>
      </w:r>
      <w:r>
        <w:rPr>
          <w:rFonts w:hint="eastAsia" w:ascii="宋体" w:hAnsi="宋体" w:cs="宋体"/>
          <w:sz w:val="24"/>
          <w:szCs w:val="24"/>
          <w:highlight w:val="none"/>
        </w:rPr>
        <w:t>，</w:t>
      </w:r>
      <w:r>
        <w:rPr>
          <w:rFonts w:hint="eastAsia" w:ascii="宋体" w:hAnsi="宋体" w:cs="宋体"/>
          <w:sz w:val="24"/>
          <w:szCs w:val="24"/>
        </w:rPr>
        <w:t>每天上午</w:t>
      </w:r>
      <w:r>
        <w:rPr>
          <w:rFonts w:ascii="宋体" w:hAnsi="宋体" w:cs="宋体"/>
          <w:sz w:val="24"/>
          <w:szCs w:val="24"/>
        </w:rPr>
        <w:t>00:00</w:t>
      </w:r>
      <w:r>
        <w:rPr>
          <w:rFonts w:hint="eastAsia" w:ascii="宋体" w:hAnsi="宋体" w:cs="宋体"/>
          <w:sz w:val="24"/>
          <w:szCs w:val="24"/>
        </w:rPr>
        <w:t>至</w:t>
      </w:r>
      <w:r>
        <w:rPr>
          <w:rFonts w:ascii="宋体" w:hAnsi="宋体" w:cs="宋体"/>
          <w:sz w:val="24"/>
          <w:szCs w:val="24"/>
        </w:rPr>
        <w:t>12:00</w:t>
      </w:r>
      <w:r>
        <w:rPr>
          <w:rFonts w:hint="eastAsia" w:ascii="宋体" w:hAnsi="宋体" w:cs="宋体"/>
          <w:sz w:val="24"/>
          <w:szCs w:val="24"/>
        </w:rPr>
        <w:t>，下午</w:t>
      </w:r>
      <w:r>
        <w:rPr>
          <w:rFonts w:ascii="宋体" w:hAnsi="宋体" w:cs="宋体"/>
          <w:sz w:val="24"/>
          <w:szCs w:val="24"/>
        </w:rPr>
        <w:t>12:00</w:t>
      </w:r>
      <w:r>
        <w:rPr>
          <w:rFonts w:hint="eastAsia" w:ascii="宋体" w:hAnsi="宋体" w:cs="宋体"/>
          <w:sz w:val="24"/>
          <w:szCs w:val="24"/>
        </w:rPr>
        <w:t>至</w:t>
      </w:r>
      <w:r>
        <w:rPr>
          <w:rFonts w:ascii="宋体" w:hAnsi="宋体" w:cs="宋体"/>
          <w:sz w:val="24"/>
          <w:szCs w:val="24"/>
        </w:rPr>
        <w:t>23:59</w:t>
      </w:r>
      <w:r>
        <w:rPr>
          <w:rFonts w:hint="eastAsia" w:ascii="宋体" w:hAnsi="宋体" w:cs="宋体"/>
          <w:sz w:val="24"/>
          <w:szCs w:val="24"/>
        </w:rPr>
        <w:t>（北京时间，线上获取法定节假日均可）</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hint="eastAsia" w:ascii="宋体" w:hAnsi="宋体" w:cs="宋体"/>
          <w:sz w:val="24"/>
          <w:szCs w:val="24"/>
        </w:rPr>
        <w:t>（二）获取地址：浙江政府采购网本项目公告附件</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hint="eastAsia" w:ascii="宋体" w:hAnsi="宋体" w:cs="宋体"/>
          <w:sz w:val="24"/>
          <w:szCs w:val="24"/>
        </w:rPr>
        <w:t>（三）获取方式：</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、尚未注册浙江政府采购网正式供应商的应先进行注册申请，注册流程详见“浙江政府采购网</w:t>
      </w:r>
      <w:r>
        <w:rPr>
          <w:rFonts w:ascii="宋体" w:hAnsi="宋体" w:cs="宋体"/>
          <w:sz w:val="24"/>
          <w:szCs w:val="24"/>
        </w:rPr>
        <w:t>—</w:t>
      </w:r>
      <w:r>
        <w:rPr>
          <w:rFonts w:hint="eastAsia" w:ascii="宋体" w:hAnsi="宋体" w:cs="宋体"/>
          <w:sz w:val="24"/>
          <w:szCs w:val="24"/>
        </w:rPr>
        <w:t>网上办事指南</w:t>
      </w:r>
      <w:r>
        <w:rPr>
          <w:rFonts w:ascii="宋体" w:hAnsi="宋体" w:cs="宋体"/>
          <w:sz w:val="24"/>
          <w:szCs w:val="24"/>
        </w:rPr>
        <w:t>—</w:t>
      </w:r>
      <w:r>
        <w:rPr>
          <w:rFonts w:hint="eastAsia" w:ascii="宋体" w:hAnsi="宋体" w:cs="宋体"/>
          <w:sz w:val="24"/>
          <w:szCs w:val="24"/>
        </w:rPr>
        <w:t>供应商注册申请”，注册申请免费。</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、供应商注册成功后，登录“政采云”平台进入“项目采购”应用模块，点击菜单的“申请获取招标文件”，填写获取招标文件的申请信息。点击“下载招标文件”即可获取招标文件。</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、采购公告上附件里的招标文件仅供阅览使用，供应商应当在“政采云”平台注册登记后再获取招标文件，没有通过注册登记而获取招标文件的潜在供应商，对招标文件提起质疑投诉的，不予受理。</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ascii="宋体" w:hAnsi="宋体" w:cs="宋体"/>
          <w:sz w:val="24"/>
          <w:szCs w:val="24"/>
        </w:rPr>
        <w:t>4</w:t>
      </w:r>
      <w:r>
        <w:rPr>
          <w:rFonts w:hint="eastAsia" w:ascii="宋体" w:hAnsi="宋体" w:cs="宋体"/>
          <w:sz w:val="24"/>
          <w:szCs w:val="24"/>
        </w:rPr>
        <w:t>、采购代理机构将拒绝接受非通过以上方式获取招标文件的供应商投标文件。</w:t>
      </w:r>
    </w:p>
    <w:p>
      <w:pPr>
        <w:pStyle w:val="27"/>
        <w:keepNext w:val="0"/>
        <w:keepLines w:val="0"/>
        <w:pageBreakBefore w:val="0"/>
        <w:kinsoku/>
        <w:wordWrap/>
        <w:overflowPunct/>
        <w:topLinePunct w:val="0"/>
        <w:bidi w:val="0"/>
        <w:snapToGrid w:val="0"/>
        <w:spacing w:line="324" w:lineRule="auto"/>
        <w:ind w:firstLine="480" w:firstLineChars="200"/>
      </w:pPr>
      <w:r>
        <w:rPr>
          <w:rFonts w:hint="eastAsia"/>
        </w:rPr>
        <w:t>（</w:t>
      </w:r>
      <w:r>
        <w:rPr>
          <w:rFonts w:hint="eastAsia"/>
          <w:lang w:val="en-US"/>
        </w:rPr>
        <w:t>四</w:t>
      </w:r>
      <w:r>
        <w:rPr>
          <w:rFonts w:hint="eastAsia"/>
        </w:rPr>
        <w:t>）售价（元）：</w:t>
      </w:r>
      <w:r>
        <w:t>0 </w:t>
      </w:r>
    </w:p>
    <w:p>
      <w:pPr>
        <w:keepNext w:val="0"/>
        <w:keepLines w:val="0"/>
        <w:pageBreakBefore w:val="0"/>
        <w:kinsoku/>
        <w:wordWrap/>
        <w:overflowPunct/>
        <w:topLinePunct w:val="0"/>
        <w:bidi w:val="0"/>
        <w:snapToGrid w:val="0"/>
        <w:spacing w:line="324" w:lineRule="auto"/>
        <w:ind w:firstLine="480" w:firstLineChars="200"/>
        <w:rPr>
          <w:rFonts w:ascii="宋体" w:cs="宋体"/>
          <w:b/>
          <w:bCs/>
          <w:sz w:val="24"/>
          <w:szCs w:val="24"/>
        </w:rPr>
      </w:pPr>
      <w:r>
        <w:rPr>
          <w:rFonts w:hint="eastAsia" w:ascii="宋体" w:hAnsi="宋体" w:cs="宋体"/>
          <w:b/>
          <w:bCs/>
          <w:sz w:val="24"/>
          <w:szCs w:val="24"/>
          <w:lang w:eastAsia="zh-CN"/>
        </w:rPr>
        <w:t>四</w:t>
      </w:r>
      <w:r>
        <w:rPr>
          <w:rFonts w:hint="eastAsia" w:ascii="宋体" w:hAnsi="宋体" w:cs="宋体"/>
          <w:b/>
          <w:bCs/>
          <w:sz w:val="24"/>
          <w:szCs w:val="24"/>
        </w:rPr>
        <w:t>、提交投标文件截止时间、开标时间和地点</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hint="eastAsia" w:ascii="宋体" w:hAnsi="宋体" w:cs="宋体"/>
          <w:sz w:val="24"/>
          <w:szCs w:val="24"/>
        </w:rPr>
        <w:t>提交投标文件截止时间：</w:t>
      </w:r>
      <w:r>
        <w:rPr>
          <w:rFonts w:hint="eastAsia" w:ascii="宋体" w:hAnsi="宋体" w:cs="宋体"/>
          <w:sz w:val="24"/>
          <w:szCs w:val="24"/>
          <w:lang w:eastAsia="zh-CN"/>
        </w:rPr>
        <w:t>2024年</w:t>
      </w:r>
      <w:r>
        <w:rPr>
          <w:rFonts w:hint="eastAsia" w:ascii="宋体" w:hAnsi="宋体" w:cs="宋体"/>
          <w:sz w:val="24"/>
          <w:szCs w:val="24"/>
          <w:lang w:val="en-US" w:eastAsia="zh-CN"/>
        </w:rPr>
        <w:t>5</w:t>
      </w:r>
      <w:r>
        <w:rPr>
          <w:rFonts w:hint="eastAsia" w:ascii="宋体" w:hAnsi="宋体" w:cs="宋体"/>
          <w:sz w:val="24"/>
          <w:szCs w:val="24"/>
          <w:lang w:eastAsia="zh-CN"/>
        </w:rPr>
        <w:t>月</w:t>
      </w:r>
      <w:r>
        <w:rPr>
          <w:rFonts w:hint="eastAsia" w:ascii="宋体" w:hAnsi="宋体" w:cs="宋体"/>
          <w:sz w:val="24"/>
          <w:szCs w:val="24"/>
          <w:lang w:val="en-US" w:eastAsia="zh-CN"/>
        </w:rPr>
        <w:t>11</w:t>
      </w:r>
      <w:r>
        <w:rPr>
          <w:rFonts w:hint="eastAsia" w:ascii="宋体" w:hAnsi="宋体" w:cs="宋体"/>
          <w:sz w:val="24"/>
          <w:szCs w:val="24"/>
          <w:lang w:eastAsia="zh-CN"/>
        </w:rPr>
        <w:t xml:space="preserve">日 </w:t>
      </w:r>
      <w:r>
        <w:rPr>
          <w:rFonts w:hint="eastAsia" w:ascii="宋体" w:hAnsi="宋体" w:cs="宋体"/>
          <w:sz w:val="24"/>
          <w:szCs w:val="24"/>
          <w:lang w:val="en-US" w:eastAsia="zh-CN"/>
        </w:rPr>
        <w:t>14</w:t>
      </w:r>
      <w:r>
        <w:rPr>
          <w:rFonts w:hint="eastAsia" w:ascii="宋体" w:hAnsi="宋体" w:cs="宋体"/>
          <w:sz w:val="24"/>
          <w:szCs w:val="24"/>
          <w:lang w:eastAsia="zh-CN"/>
        </w:rPr>
        <w:t>：00 分</w:t>
      </w:r>
      <w:r>
        <w:rPr>
          <w:rFonts w:hint="eastAsia" w:ascii="宋体" w:hAnsi="宋体" w:cs="宋体"/>
          <w:sz w:val="24"/>
          <w:szCs w:val="24"/>
        </w:rPr>
        <w:t>（北京时间）</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hint="eastAsia" w:ascii="宋体" w:hAnsi="宋体" w:cs="宋体"/>
          <w:sz w:val="24"/>
          <w:szCs w:val="24"/>
        </w:rPr>
        <w:t>投标地点（网址）：“政府采购云平台”线上上传</w:t>
      </w:r>
      <w:r>
        <w:rPr>
          <w:rFonts w:ascii="宋体" w:cs="宋体"/>
          <w:sz w:val="24"/>
          <w:szCs w:val="24"/>
        </w:rPr>
        <w:t> </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hint="eastAsia" w:ascii="宋体" w:hAnsi="宋体" w:cs="宋体"/>
          <w:sz w:val="24"/>
          <w:szCs w:val="24"/>
        </w:rPr>
        <w:t>开标时间：</w:t>
      </w:r>
      <w:r>
        <w:rPr>
          <w:rFonts w:hint="eastAsia" w:ascii="宋体" w:hAnsi="宋体" w:cs="宋体"/>
          <w:sz w:val="24"/>
          <w:szCs w:val="24"/>
          <w:lang w:eastAsia="zh-CN"/>
        </w:rPr>
        <w:t>2024年</w:t>
      </w:r>
      <w:r>
        <w:rPr>
          <w:rFonts w:hint="eastAsia" w:ascii="宋体" w:hAnsi="宋体" w:cs="宋体"/>
          <w:sz w:val="24"/>
          <w:szCs w:val="24"/>
          <w:lang w:val="en-US" w:eastAsia="zh-CN"/>
        </w:rPr>
        <w:t>5</w:t>
      </w:r>
      <w:r>
        <w:rPr>
          <w:rFonts w:hint="eastAsia" w:ascii="宋体" w:hAnsi="宋体" w:cs="宋体"/>
          <w:sz w:val="24"/>
          <w:szCs w:val="24"/>
          <w:lang w:eastAsia="zh-CN"/>
        </w:rPr>
        <w:t>月</w:t>
      </w:r>
      <w:r>
        <w:rPr>
          <w:rFonts w:hint="eastAsia" w:ascii="宋体" w:hAnsi="宋体" w:cs="宋体"/>
          <w:sz w:val="24"/>
          <w:szCs w:val="24"/>
          <w:lang w:val="en-US" w:eastAsia="zh-CN"/>
        </w:rPr>
        <w:t>11</w:t>
      </w:r>
      <w:r>
        <w:rPr>
          <w:rFonts w:hint="eastAsia" w:ascii="宋体" w:hAnsi="宋体" w:cs="宋体"/>
          <w:sz w:val="24"/>
          <w:szCs w:val="24"/>
          <w:lang w:eastAsia="zh-CN"/>
        </w:rPr>
        <w:t xml:space="preserve">日 </w:t>
      </w:r>
      <w:r>
        <w:rPr>
          <w:rFonts w:hint="eastAsia" w:ascii="宋体" w:hAnsi="宋体" w:cs="宋体"/>
          <w:sz w:val="24"/>
          <w:szCs w:val="24"/>
          <w:lang w:val="en-US" w:eastAsia="zh-CN"/>
        </w:rPr>
        <w:t>14</w:t>
      </w:r>
      <w:r>
        <w:rPr>
          <w:rFonts w:hint="eastAsia" w:ascii="宋体" w:hAnsi="宋体" w:cs="宋体"/>
          <w:sz w:val="24"/>
          <w:szCs w:val="24"/>
          <w:lang w:eastAsia="zh-CN"/>
        </w:rPr>
        <w:t>：00 分</w:t>
      </w:r>
      <w:r>
        <w:rPr>
          <w:rFonts w:hint="eastAsia" w:ascii="宋体" w:hAnsi="宋体" w:cs="宋体"/>
          <w:sz w:val="24"/>
          <w:szCs w:val="24"/>
        </w:rPr>
        <w:t>（北京时间）</w:t>
      </w:r>
      <w:r>
        <w:rPr>
          <w:rFonts w:ascii="宋体" w:cs="宋体"/>
          <w:sz w:val="24"/>
          <w:szCs w:val="24"/>
        </w:rPr>
        <w:t> </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hint="eastAsia" w:ascii="宋体" w:hAnsi="宋体" w:cs="宋体"/>
          <w:sz w:val="24"/>
          <w:szCs w:val="24"/>
        </w:rPr>
        <w:t>开标地点（网址）：“政府采购云平台”线上开标</w:t>
      </w:r>
    </w:p>
    <w:p>
      <w:pPr>
        <w:keepNext w:val="0"/>
        <w:keepLines w:val="0"/>
        <w:pageBreakBefore w:val="0"/>
        <w:kinsoku/>
        <w:wordWrap/>
        <w:overflowPunct/>
        <w:topLinePunct w:val="0"/>
        <w:bidi w:val="0"/>
        <w:snapToGrid w:val="0"/>
        <w:spacing w:line="324" w:lineRule="auto"/>
        <w:ind w:firstLine="480" w:firstLineChars="200"/>
        <w:rPr>
          <w:rFonts w:ascii="宋体" w:cs="宋体"/>
          <w:b/>
          <w:bCs/>
          <w:sz w:val="24"/>
          <w:szCs w:val="24"/>
        </w:rPr>
      </w:pPr>
      <w:r>
        <w:rPr>
          <w:rFonts w:hint="eastAsia" w:ascii="宋体" w:hAnsi="宋体" w:cs="宋体"/>
          <w:b/>
          <w:bCs/>
          <w:sz w:val="24"/>
          <w:szCs w:val="24"/>
          <w:lang w:eastAsia="zh-CN"/>
        </w:rPr>
        <w:t>五</w:t>
      </w:r>
      <w:r>
        <w:rPr>
          <w:rFonts w:hint="eastAsia" w:ascii="宋体" w:hAnsi="宋体" w:cs="宋体"/>
          <w:b/>
          <w:bCs/>
          <w:sz w:val="24"/>
          <w:szCs w:val="24"/>
        </w:rPr>
        <w:t>、公告期限</w:t>
      </w:r>
      <w:r>
        <w:rPr>
          <w:rFonts w:ascii="宋体" w:cs="宋体"/>
          <w:b/>
          <w:bCs/>
          <w:sz w:val="24"/>
          <w:szCs w:val="24"/>
        </w:rPr>
        <w:t> </w:t>
      </w:r>
    </w:p>
    <w:p>
      <w:pPr>
        <w:keepNext w:val="0"/>
        <w:keepLines w:val="0"/>
        <w:pageBreakBefore w:val="0"/>
        <w:kinsoku/>
        <w:wordWrap/>
        <w:overflowPunct/>
        <w:topLinePunct w:val="0"/>
        <w:bidi w:val="0"/>
        <w:snapToGrid w:val="0"/>
        <w:spacing w:line="324" w:lineRule="auto"/>
        <w:ind w:firstLine="480" w:firstLineChars="200"/>
        <w:rPr>
          <w:rFonts w:ascii="宋体" w:cs="宋体"/>
          <w:sz w:val="24"/>
          <w:szCs w:val="24"/>
        </w:rPr>
      </w:pPr>
      <w:r>
        <w:rPr>
          <w:rFonts w:hint="eastAsia" w:ascii="宋体" w:hAnsi="宋体" w:cs="宋体"/>
          <w:sz w:val="24"/>
          <w:szCs w:val="24"/>
        </w:rPr>
        <w:t>自本公告发布之日起</w:t>
      </w:r>
      <w:r>
        <w:rPr>
          <w:rFonts w:ascii="宋体" w:hAnsi="宋体" w:cs="宋体"/>
          <w:sz w:val="24"/>
          <w:szCs w:val="24"/>
        </w:rPr>
        <w:t>5</w:t>
      </w:r>
      <w:r>
        <w:rPr>
          <w:rFonts w:hint="eastAsia" w:ascii="宋体" w:hAnsi="宋体" w:cs="宋体"/>
          <w:sz w:val="24"/>
          <w:szCs w:val="24"/>
        </w:rPr>
        <w:t>个工作日。</w:t>
      </w:r>
    </w:p>
    <w:p>
      <w:pPr>
        <w:keepNext w:val="0"/>
        <w:keepLines w:val="0"/>
        <w:pageBreakBefore w:val="0"/>
        <w:kinsoku/>
        <w:wordWrap/>
        <w:overflowPunct/>
        <w:topLinePunct w:val="0"/>
        <w:bidi w:val="0"/>
        <w:spacing w:line="400" w:lineRule="exact"/>
        <w:textAlignment w:val="auto"/>
        <w:outlineLvl w:val="0"/>
        <w:rPr>
          <w:rFonts w:hint="eastAsia" w:ascii="宋体" w:hAnsi="宋体" w:eastAsia="宋体" w:cs="宋体"/>
          <w:b/>
          <w:bCs/>
          <w:color w:val="auto"/>
          <w:sz w:val="24"/>
          <w:szCs w:val="24"/>
          <w:highlight w:val="none"/>
        </w:rPr>
      </w:pPr>
      <w:bookmarkStart w:id="1" w:name="_Toc27005"/>
      <w:bookmarkStart w:id="2" w:name="_Toc15948"/>
      <w:bookmarkStart w:id="3" w:name="_Toc7785"/>
      <w:r>
        <w:rPr>
          <w:rFonts w:hint="eastAsia" w:ascii="宋体" w:hAnsi="宋体" w:eastAsia="宋体" w:cs="宋体"/>
          <w:b/>
          <w:bCs/>
          <w:color w:val="auto"/>
          <w:sz w:val="24"/>
          <w:szCs w:val="24"/>
          <w:highlight w:val="none"/>
          <w:lang w:eastAsia="zh-CN"/>
        </w:rPr>
        <w:t>六、</w:t>
      </w:r>
      <w:r>
        <w:rPr>
          <w:rFonts w:hint="eastAsia" w:ascii="宋体" w:hAnsi="宋体" w:eastAsia="宋体" w:cs="宋体"/>
          <w:b/>
          <w:bCs/>
          <w:color w:val="auto"/>
          <w:sz w:val="24"/>
          <w:szCs w:val="24"/>
          <w:highlight w:val="none"/>
        </w:rPr>
        <w:t>其他补充事宜</w:t>
      </w:r>
      <w:bookmarkEnd w:id="1"/>
      <w:bookmarkEnd w:id="2"/>
      <w:bookmarkEnd w:id="3"/>
    </w:p>
    <w:p>
      <w:pPr>
        <w:keepNext w:val="0"/>
        <w:keepLines w:val="0"/>
        <w:pageBreakBefore w:val="0"/>
        <w:kinsoku/>
        <w:wordWrap/>
        <w:overflowPunct/>
        <w:topLinePunct w:val="0"/>
        <w:bidi w:val="0"/>
        <w:snapToGrid w:val="0"/>
        <w:spacing w:line="4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kinsoku/>
        <w:wordWrap/>
        <w:overflowPunct/>
        <w:topLinePunct w:val="0"/>
        <w:bidi w:val="0"/>
        <w:snapToGrid w:val="0"/>
        <w:spacing w:line="4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2.根据《浙江省财政厅关于进一步促进政府采购公平竞争打造最优营商环境的通知》（浙财采监（2021）22号）文件关于“健全行政裁决机制”要求，鼓励供应商在线提起询问，路径为：政采云</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项目采购</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询问质疑投诉</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询问列表</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鼓励供应商在线提起质疑，路径为：政采云</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项目采购</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询问质疑投诉</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质疑列表。质疑供应商对在线质疑答复不满意的，可在线提起投诉，路径为：浙江政府服务网</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政府采购投诉处理</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在线办理。</w:t>
      </w:r>
    </w:p>
    <w:p>
      <w:pPr>
        <w:keepNext w:val="0"/>
        <w:keepLines w:val="0"/>
        <w:pageBreakBefore w:val="0"/>
        <w:kinsoku/>
        <w:wordWrap/>
        <w:overflowPunct/>
        <w:topLinePunct w:val="0"/>
        <w:bidi w:val="0"/>
        <w:snapToGrid w:val="0"/>
        <w:spacing w:line="400" w:lineRule="exact"/>
        <w:ind w:firstLine="480"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kinsoku/>
        <w:wordWrap/>
        <w:overflowPunct/>
        <w:topLinePunct w:val="0"/>
        <w:bidi w:val="0"/>
        <w:adjustRightInd w:val="0"/>
        <w:snapToGrid w:val="0"/>
        <w:spacing w:line="400" w:lineRule="exact"/>
        <w:ind w:firstLine="48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4.其他事项：</w:t>
      </w:r>
    </w:p>
    <w:p>
      <w:pPr>
        <w:keepNext w:val="0"/>
        <w:keepLines w:val="0"/>
        <w:pageBreakBefore w:val="0"/>
        <w:widowControl/>
        <w:kinsoku/>
        <w:wordWrap/>
        <w:overflowPunct/>
        <w:topLinePunct w:val="0"/>
        <w:bidi w:val="0"/>
        <w:adjustRightInd w:val="0"/>
        <w:snapToGrid w:val="0"/>
        <w:spacing w:line="400" w:lineRule="exact"/>
        <w:ind w:firstLine="48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（一）电子招投标相关事宜：</w:t>
      </w:r>
    </w:p>
    <w:p>
      <w:pPr>
        <w:keepNext w:val="0"/>
        <w:keepLines w:val="0"/>
        <w:pageBreakBefore w:val="0"/>
        <w:widowControl/>
        <w:kinsoku/>
        <w:wordWrap/>
        <w:overflowPunct/>
        <w:topLinePunct w:val="0"/>
        <w:bidi w:val="0"/>
        <w:adjustRightInd w:val="0"/>
        <w:snapToGrid w:val="0"/>
        <w:spacing w:line="400" w:lineRule="exac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 xml:space="preserve">1. </w:t>
      </w:r>
      <w:r>
        <w:rPr>
          <w:rFonts w:hint="eastAsia" w:ascii="宋体" w:hAnsi="宋体" w:eastAsia="宋体" w:cs="宋体"/>
          <w:color w:val="auto"/>
          <w:kern w:val="0"/>
          <w:sz w:val="24"/>
          <w:szCs w:val="24"/>
          <w:highlight w:val="none"/>
        </w:rPr>
        <w:t>供应商注册：投标人应为浙江政府采购注册供应商，如尚未注册，务必在投标截止</w:t>
      </w:r>
      <w:r>
        <w:rPr>
          <w:rFonts w:hint="eastAsia" w:ascii="宋体" w:hAnsi="宋体" w:eastAsia="宋体" w:cs="宋体"/>
          <w:color w:val="auto"/>
          <w:kern w:val="0"/>
          <w:sz w:val="24"/>
          <w:szCs w:val="24"/>
          <w:highlight w:val="none"/>
          <w:lang w:val="en-US" w:eastAsia="zh-CN"/>
        </w:rPr>
        <w:t>时间</w:t>
      </w:r>
      <w:r>
        <w:rPr>
          <w:rFonts w:hint="eastAsia" w:ascii="宋体" w:hAnsi="宋体" w:eastAsia="宋体" w:cs="宋体"/>
          <w:color w:val="auto"/>
          <w:kern w:val="0"/>
          <w:sz w:val="24"/>
          <w:szCs w:val="24"/>
          <w:highlight w:val="none"/>
        </w:rPr>
        <w:t>前登陆浙江政府采购网进行注册。</w:t>
      </w:r>
    </w:p>
    <w:p>
      <w:pPr>
        <w:keepNext w:val="0"/>
        <w:keepLines w:val="0"/>
        <w:pageBreakBefore w:val="0"/>
        <w:widowControl/>
        <w:kinsoku/>
        <w:wordWrap/>
        <w:overflowPunct/>
        <w:topLinePunct w:val="0"/>
        <w:bidi w:val="0"/>
        <w:adjustRightInd w:val="0"/>
        <w:snapToGrid w:val="0"/>
        <w:spacing w:line="400" w:lineRule="exac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 xml:space="preserve"> 本项目采取电子招投标，</w:t>
      </w:r>
      <w:r>
        <w:rPr>
          <w:rFonts w:hint="eastAsia" w:ascii="宋体" w:hAnsi="宋体" w:eastAsia="宋体" w:cs="宋体"/>
          <w:color w:val="auto"/>
          <w:kern w:val="0"/>
          <w:sz w:val="24"/>
          <w:szCs w:val="24"/>
          <w:highlight w:val="none"/>
        </w:rPr>
        <w:t>电子招投标有关事项说明</w:t>
      </w:r>
      <w:r>
        <w:rPr>
          <w:rFonts w:hint="eastAsia" w:ascii="宋体" w:hAnsi="宋体" w:eastAsia="宋体" w:cs="宋体"/>
          <w:color w:val="auto"/>
          <w:kern w:val="0"/>
          <w:sz w:val="24"/>
          <w:szCs w:val="24"/>
          <w:highlight w:val="none"/>
          <w:lang w:val="en-US" w:eastAsia="zh-CN"/>
        </w:rPr>
        <w:t>如下</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adjustRightInd w:val="0"/>
        <w:snapToGrid w:val="0"/>
        <w:spacing w:line="400" w:lineRule="exac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项目通过“政府采购云平台（www.zcygov.cn）”实行电子投标，供应商须安装客户端软件，并按照采购文件和电子交易平台的要求编制并加密投标、响应文件。供应商未按规定加密的投标、响应文件，电子交易平台</w:t>
      </w:r>
      <w:r>
        <w:rPr>
          <w:rFonts w:hint="eastAsia" w:ascii="宋体" w:hAnsi="宋体" w:eastAsia="宋体" w:cs="宋体"/>
          <w:color w:val="auto"/>
          <w:kern w:val="0"/>
          <w:sz w:val="24"/>
          <w:szCs w:val="24"/>
          <w:highlight w:val="none"/>
          <w:lang w:val="en-US" w:eastAsia="zh-CN"/>
        </w:rPr>
        <w:t>将</w:t>
      </w:r>
      <w:r>
        <w:rPr>
          <w:rFonts w:hint="eastAsia" w:ascii="宋体" w:hAnsi="宋体" w:eastAsia="宋体" w:cs="宋体"/>
          <w:color w:val="auto"/>
          <w:kern w:val="0"/>
          <w:sz w:val="24"/>
          <w:szCs w:val="24"/>
          <w:highlight w:val="none"/>
        </w:rPr>
        <w:t>拒收并提示。</w:t>
      </w:r>
    </w:p>
    <w:p>
      <w:pPr>
        <w:keepNext w:val="0"/>
        <w:keepLines w:val="0"/>
        <w:pageBreakBefore w:val="0"/>
        <w:widowControl/>
        <w:kinsoku/>
        <w:wordWrap/>
        <w:overflowPunct/>
        <w:topLinePunct w:val="0"/>
        <w:bidi w:val="0"/>
        <w:adjustRightInd w:val="0"/>
        <w:snapToGrid w:val="0"/>
        <w:spacing w:line="400" w:lineRule="exac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客户端软件下载方式：供应商可通过“浙江政府采购网</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下载专区</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电子交易客户端”进行下载。</w:t>
      </w:r>
    </w:p>
    <w:p>
      <w:pPr>
        <w:keepNext w:val="0"/>
        <w:keepLines w:val="0"/>
        <w:pageBreakBefore w:val="0"/>
        <w:widowControl/>
        <w:kinsoku/>
        <w:wordWrap/>
        <w:overflowPunct/>
        <w:topLinePunct w:val="0"/>
        <w:bidi w:val="0"/>
        <w:adjustRightInd w:val="0"/>
        <w:snapToGrid w:val="0"/>
        <w:spacing w:line="400" w:lineRule="exac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2）供应商须申领CA，并在政采云平台完成绑定方可进行投标文件的编制，CA相关操作可参考“浙江政府采购网</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下载专区</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电子交易客户端</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CA驱动和申领流程”。</w:t>
      </w:r>
    </w:p>
    <w:p>
      <w:pPr>
        <w:keepNext w:val="0"/>
        <w:keepLines w:val="0"/>
        <w:pageBreakBefore w:val="0"/>
        <w:widowControl/>
        <w:kinsoku/>
        <w:wordWrap/>
        <w:overflowPunct/>
        <w:topLinePunct w:val="0"/>
        <w:bidi w:val="0"/>
        <w:adjustRightInd w:val="0"/>
        <w:snapToGrid w:val="0"/>
        <w:spacing w:line="400" w:lineRule="exac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供应商在进行上述操作时，如遇技术问题可致电400-881-7190进行咨询</w:t>
      </w:r>
      <w:r>
        <w:rPr>
          <w:rFonts w:hint="eastAsia" w:ascii="宋体" w:hAnsi="宋体" w:cs="宋体"/>
          <w:color w:val="auto"/>
          <w:kern w:val="0"/>
          <w:sz w:val="24"/>
          <w:szCs w:val="24"/>
          <w:highlight w:val="none"/>
          <w:lang w:eastAsia="zh-CN"/>
        </w:rPr>
        <w:t>，</w:t>
      </w:r>
      <w:r>
        <w:rPr>
          <w:rFonts w:hint="eastAsia" w:ascii="宋体" w:hAnsi="宋体" w:cs="宋体"/>
          <w:b/>
          <w:bCs/>
          <w:color w:val="FF0000"/>
          <w:sz w:val="24"/>
          <w:szCs w:val="24"/>
          <w:highlight w:val="none"/>
        </w:rPr>
        <w:t>在项目开、评标活动过程中，投标人需保持联系渠道畅通</w:t>
      </w:r>
      <w:r>
        <w:rPr>
          <w:rFonts w:hint="eastAsia" w:ascii="宋体" w:hAnsi="宋体" w:eastAsia="宋体" w:cs="宋体"/>
          <w:color w:val="auto"/>
          <w:kern w:val="0"/>
          <w:sz w:val="24"/>
          <w:szCs w:val="24"/>
          <w:highlight w:val="none"/>
        </w:rPr>
        <w:t>。</w:t>
      </w:r>
    </w:p>
    <w:p>
      <w:pPr>
        <w:keepNext w:val="0"/>
        <w:keepLines w:val="0"/>
        <w:pageBreakBefore w:val="0"/>
        <w:kinsoku/>
        <w:wordWrap/>
        <w:overflowPunct/>
        <w:topLinePunct w:val="0"/>
        <w:bidi w:val="0"/>
        <w:snapToGrid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rPr>
        <w:t>投标保证金</w:t>
      </w:r>
      <w:r>
        <w:rPr>
          <w:rFonts w:hint="eastAsia" w:ascii="宋体" w:hAnsi="宋体" w:eastAsia="宋体" w:cs="宋体"/>
          <w:b/>
          <w:bCs/>
          <w:color w:val="auto"/>
          <w:sz w:val="24"/>
          <w:szCs w:val="24"/>
          <w:highlight w:val="none"/>
          <w:lang w:eastAsia="zh-CN"/>
        </w:rPr>
        <w:t>：</w:t>
      </w:r>
      <w:r>
        <w:rPr>
          <w:rFonts w:hint="eastAsia" w:ascii="宋体" w:hAnsi="宋体" w:eastAsia="宋体" w:cs="宋体"/>
          <w:b w:val="0"/>
          <w:bCs w:val="0"/>
          <w:color w:val="auto"/>
          <w:sz w:val="24"/>
          <w:szCs w:val="24"/>
          <w:highlight w:val="none"/>
        </w:rPr>
        <w:t>本项目不收取投标保证金。</w:t>
      </w:r>
    </w:p>
    <w:p>
      <w:pPr>
        <w:keepNext w:val="0"/>
        <w:keepLines w:val="0"/>
        <w:pageBreakBefore w:val="0"/>
        <w:kinsoku/>
        <w:wordWrap/>
        <w:overflowPunct/>
        <w:topLinePunct w:val="0"/>
        <w:bidi w:val="0"/>
        <w:snapToGrid w:val="0"/>
        <w:spacing w:line="400" w:lineRule="exact"/>
        <w:ind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cs="宋体"/>
          <w:b/>
          <w:bCs/>
          <w:color w:val="auto"/>
          <w:sz w:val="24"/>
          <w:szCs w:val="24"/>
          <w:highlight w:val="none"/>
          <w:lang w:eastAsia="zh-CN"/>
        </w:rPr>
        <w:t>三</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公告发布媒体：</w:t>
      </w:r>
    </w:p>
    <w:p>
      <w:pPr>
        <w:keepNext w:val="0"/>
        <w:keepLines w:val="0"/>
        <w:pageBreakBefore w:val="0"/>
        <w:kinsoku/>
        <w:wordWrap/>
        <w:overflowPunct/>
        <w:topLinePunct w:val="0"/>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浙江省政府采购网（http:// </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"http://www.zjzfcg.gov.cn）和温岭市公共资源交易中心网（http:/new.wl.gov.cn/col/col1402172/index.html）。"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www.zjzfcg.gov.cn）和温岭市公共资源交易中心网（https://www.wl.gov.cn/col/col1402172/index.html）。</w:t>
      </w:r>
      <w:r>
        <w:rPr>
          <w:rFonts w:hint="eastAsia" w:ascii="宋体" w:hAnsi="宋体" w:eastAsia="宋体" w:cs="宋体"/>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spacing w:line="400" w:lineRule="exact"/>
        <w:textAlignment w:val="auto"/>
        <w:outlineLvl w:val="0"/>
        <w:rPr>
          <w:rFonts w:hint="eastAsia" w:ascii="宋体" w:hAnsi="宋体" w:eastAsia="宋体" w:cs="宋体"/>
          <w:b/>
          <w:bCs/>
          <w:color w:val="auto"/>
          <w:sz w:val="24"/>
          <w:szCs w:val="24"/>
          <w:highlight w:val="none"/>
          <w:lang w:eastAsia="zh-CN"/>
        </w:rPr>
      </w:pPr>
      <w:bookmarkStart w:id="4" w:name="_Toc35393627"/>
      <w:bookmarkStart w:id="5" w:name="_Toc28359008"/>
      <w:bookmarkStart w:id="6" w:name="_Toc7808"/>
      <w:bookmarkStart w:id="7" w:name="_Toc28359085"/>
      <w:bookmarkStart w:id="8" w:name="_Toc35393796"/>
      <w:bookmarkStart w:id="9" w:name="_Toc9822"/>
      <w:bookmarkStart w:id="10" w:name="_Toc32481"/>
      <w:r>
        <w:rPr>
          <w:rFonts w:hint="eastAsia" w:ascii="宋体" w:hAnsi="宋体" w:eastAsia="宋体" w:cs="宋体"/>
          <w:b/>
          <w:bCs/>
          <w:color w:val="auto"/>
          <w:sz w:val="24"/>
          <w:szCs w:val="24"/>
          <w:highlight w:val="none"/>
          <w:lang w:eastAsia="zh-CN"/>
        </w:rPr>
        <w:t>七、对本次招标提出询问，请按以下方式联系</w:t>
      </w:r>
      <w:bookmarkEnd w:id="4"/>
      <w:bookmarkEnd w:id="5"/>
      <w:bookmarkEnd w:id="6"/>
      <w:bookmarkEnd w:id="7"/>
      <w:bookmarkEnd w:id="8"/>
      <w:bookmarkEnd w:id="9"/>
      <w:bookmarkEnd w:id="10"/>
      <w:r>
        <w:rPr>
          <w:rFonts w:hint="eastAsia" w:ascii="宋体" w:hAnsi="宋体" w:eastAsia="宋体" w:cs="宋体"/>
          <w:b/>
          <w:bCs/>
          <w:color w:val="auto"/>
          <w:sz w:val="24"/>
          <w:szCs w:val="24"/>
          <w:highlight w:val="none"/>
          <w:lang w:eastAsia="zh-CN"/>
        </w:rPr>
        <w:t>：</w:t>
      </w:r>
    </w:p>
    <w:p>
      <w:pPr>
        <w:keepNext w:val="0"/>
        <w:keepLines w:val="0"/>
        <w:pageBreakBefore w:val="0"/>
        <w:kinsoku/>
        <w:wordWrap/>
        <w:overflowPunct/>
        <w:topLinePunct w:val="0"/>
        <w:bidi w:val="0"/>
        <w:snapToGrid w:val="0"/>
        <w:spacing w:line="324" w:lineRule="auto"/>
        <w:ind w:firstLine="600" w:firstLineChars="250"/>
        <w:rPr>
          <w:rFonts w:ascii="宋体" w:cs="宋体"/>
          <w:b/>
          <w:bCs/>
          <w:sz w:val="24"/>
          <w:szCs w:val="24"/>
        </w:rPr>
      </w:pPr>
      <w:r>
        <w:rPr>
          <w:rFonts w:ascii="宋体" w:cs="宋体"/>
          <w:b/>
          <w:bCs/>
          <w:sz w:val="24"/>
          <w:szCs w:val="24"/>
        </w:rPr>
        <w:t>1.</w:t>
      </w:r>
      <w:r>
        <w:rPr>
          <w:rFonts w:hint="eastAsia" w:ascii="宋体" w:cs="宋体"/>
          <w:b/>
          <w:bCs/>
          <w:sz w:val="24"/>
          <w:szCs w:val="24"/>
        </w:rPr>
        <w:t>采购人信息</w:t>
      </w:r>
    </w:p>
    <w:p>
      <w:pPr>
        <w:keepNext w:val="0"/>
        <w:keepLines w:val="0"/>
        <w:pageBreakBefore w:val="0"/>
        <w:kinsoku/>
        <w:wordWrap/>
        <w:overflowPunct/>
        <w:topLinePunct w:val="0"/>
        <w:bidi w:val="0"/>
        <w:snapToGrid w:val="0"/>
        <w:spacing w:line="324" w:lineRule="auto"/>
        <w:ind w:firstLine="600" w:firstLineChars="250"/>
        <w:rPr>
          <w:rFonts w:ascii="宋体" w:hAnsi="宋体" w:cs="宋体"/>
          <w:kern w:val="0"/>
          <w:sz w:val="24"/>
        </w:rPr>
      </w:pPr>
      <w:r>
        <w:rPr>
          <w:rFonts w:hint="eastAsia" w:ascii="宋体" w:cs="宋体"/>
          <w:sz w:val="24"/>
          <w:szCs w:val="24"/>
        </w:rPr>
        <w:t>名    称：</w:t>
      </w:r>
      <w:r>
        <w:rPr>
          <w:rFonts w:hint="eastAsia" w:ascii="宋体" w:hAnsi="宋体" w:cs="宋体"/>
          <w:kern w:val="0"/>
          <w:sz w:val="24"/>
        </w:rPr>
        <w:t>温岭市新河镇人民政府</w:t>
      </w:r>
    </w:p>
    <w:p>
      <w:pPr>
        <w:keepNext w:val="0"/>
        <w:keepLines w:val="0"/>
        <w:pageBreakBefore w:val="0"/>
        <w:kinsoku/>
        <w:wordWrap/>
        <w:overflowPunct/>
        <w:topLinePunct w:val="0"/>
        <w:bidi w:val="0"/>
        <w:snapToGrid w:val="0"/>
        <w:spacing w:line="324" w:lineRule="auto"/>
        <w:ind w:firstLine="600" w:firstLineChars="250"/>
        <w:rPr>
          <w:rFonts w:ascii="宋体" w:hAnsi="宋体" w:cs="宋体"/>
          <w:sz w:val="24"/>
          <w:szCs w:val="24"/>
        </w:rPr>
      </w:pPr>
      <w:r>
        <w:rPr>
          <w:rFonts w:hint="eastAsia" w:ascii="宋体" w:hAnsi="宋体" w:cs="宋体"/>
          <w:sz w:val="24"/>
          <w:szCs w:val="24"/>
        </w:rPr>
        <w:t>地址：浙江省温岭市新河镇市民大</w:t>
      </w:r>
      <w:r>
        <w:rPr>
          <w:rFonts w:hint="eastAsia" w:ascii="宋体" w:hAnsi="宋体" w:cs="宋体"/>
          <w:sz w:val="24"/>
          <w:szCs w:val="24"/>
          <w:lang w:eastAsia="zh-CN"/>
        </w:rPr>
        <w:t>道</w:t>
      </w:r>
      <w:r>
        <w:rPr>
          <w:rFonts w:hint="eastAsia" w:ascii="宋体" w:hAnsi="宋体" w:cs="宋体"/>
          <w:sz w:val="24"/>
          <w:szCs w:val="24"/>
        </w:rPr>
        <w:t>1号</w:t>
      </w:r>
    </w:p>
    <w:p>
      <w:pPr>
        <w:keepNext w:val="0"/>
        <w:keepLines w:val="0"/>
        <w:pageBreakBefore w:val="0"/>
        <w:kinsoku/>
        <w:wordWrap/>
        <w:overflowPunct/>
        <w:topLinePunct w:val="0"/>
        <w:bidi w:val="0"/>
        <w:snapToGrid w:val="0"/>
        <w:spacing w:line="324" w:lineRule="auto"/>
        <w:ind w:firstLine="600" w:firstLineChars="250"/>
        <w:rPr>
          <w:rFonts w:ascii="宋体" w:cs="宋体"/>
          <w:sz w:val="24"/>
          <w:szCs w:val="24"/>
        </w:rPr>
      </w:pPr>
      <w:r>
        <w:rPr>
          <w:rFonts w:hint="eastAsia" w:ascii="宋体" w:cs="宋体"/>
          <w:sz w:val="24"/>
          <w:szCs w:val="24"/>
        </w:rPr>
        <w:t xml:space="preserve">项目联系人：罗佳萍  </w:t>
      </w:r>
    </w:p>
    <w:p>
      <w:pPr>
        <w:keepNext w:val="0"/>
        <w:keepLines w:val="0"/>
        <w:pageBreakBefore w:val="0"/>
        <w:kinsoku/>
        <w:wordWrap/>
        <w:overflowPunct/>
        <w:topLinePunct w:val="0"/>
        <w:bidi w:val="0"/>
        <w:snapToGrid w:val="0"/>
        <w:spacing w:line="324" w:lineRule="auto"/>
        <w:ind w:firstLine="600" w:firstLineChars="250"/>
        <w:jc w:val="left"/>
        <w:rPr>
          <w:rFonts w:ascii="宋体" w:cs="宋体"/>
          <w:sz w:val="24"/>
          <w:szCs w:val="24"/>
        </w:rPr>
      </w:pPr>
      <w:r>
        <w:rPr>
          <w:rFonts w:hint="eastAsia" w:ascii="宋体" w:cs="宋体"/>
          <w:sz w:val="24"/>
          <w:szCs w:val="24"/>
        </w:rPr>
        <w:t>项目联系方式（询问）：</w:t>
      </w:r>
      <w:r>
        <w:rPr>
          <w:rFonts w:hint="eastAsia" w:ascii="宋体" w:hAnsi="宋体" w:cs="宋体"/>
          <w:color w:val="000000"/>
          <w:kern w:val="0"/>
          <w:sz w:val="24"/>
        </w:rPr>
        <w:t>0576-</w:t>
      </w:r>
      <w:r>
        <w:rPr>
          <w:rFonts w:hint="eastAsia" w:ascii="宋体" w:cs="宋体"/>
          <w:sz w:val="24"/>
          <w:szCs w:val="24"/>
        </w:rPr>
        <w:t xml:space="preserve">86598078 </w:t>
      </w:r>
    </w:p>
    <w:p>
      <w:pPr>
        <w:keepNext w:val="0"/>
        <w:keepLines w:val="0"/>
        <w:pageBreakBefore w:val="0"/>
        <w:kinsoku/>
        <w:wordWrap/>
        <w:overflowPunct/>
        <w:topLinePunct w:val="0"/>
        <w:bidi w:val="0"/>
        <w:snapToGrid w:val="0"/>
        <w:spacing w:line="324" w:lineRule="auto"/>
        <w:ind w:firstLine="600" w:firstLineChars="250"/>
        <w:rPr>
          <w:rFonts w:ascii="宋体" w:cs="宋体"/>
          <w:sz w:val="24"/>
          <w:szCs w:val="24"/>
        </w:rPr>
      </w:pPr>
      <w:r>
        <w:rPr>
          <w:rFonts w:ascii="宋体" w:cs="宋体"/>
          <w:b/>
          <w:bCs/>
          <w:sz w:val="24"/>
          <w:szCs w:val="24"/>
        </w:rPr>
        <w:t>2.</w:t>
      </w:r>
      <w:r>
        <w:rPr>
          <w:rFonts w:hint="eastAsia" w:ascii="宋体" w:cs="宋体"/>
          <w:b/>
          <w:bCs/>
          <w:sz w:val="24"/>
          <w:szCs w:val="24"/>
        </w:rPr>
        <w:t>采购代理机构信息</w:t>
      </w:r>
      <w:r>
        <w:rPr>
          <w:rFonts w:ascii="宋体" w:cs="宋体"/>
          <w:b/>
          <w:bCs/>
          <w:sz w:val="24"/>
          <w:szCs w:val="24"/>
        </w:rPr>
        <w:t> </w:t>
      </w:r>
      <w:r>
        <w:rPr>
          <w:rFonts w:ascii="宋体" w:cs="宋体"/>
          <w:sz w:val="24"/>
          <w:szCs w:val="24"/>
        </w:rPr>
        <w:t>           </w:t>
      </w:r>
    </w:p>
    <w:p>
      <w:pPr>
        <w:keepNext w:val="0"/>
        <w:keepLines w:val="0"/>
        <w:pageBreakBefore w:val="0"/>
        <w:kinsoku/>
        <w:wordWrap/>
        <w:overflowPunct/>
        <w:topLinePunct w:val="0"/>
        <w:bidi w:val="0"/>
        <w:snapToGrid w:val="0"/>
        <w:spacing w:line="324" w:lineRule="auto"/>
        <w:ind w:firstLine="600" w:firstLineChars="250"/>
        <w:rPr>
          <w:rFonts w:ascii="宋体" w:cs="宋体"/>
          <w:sz w:val="24"/>
          <w:szCs w:val="24"/>
        </w:rPr>
      </w:pPr>
      <w:r>
        <w:rPr>
          <w:rFonts w:hint="eastAsia" w:ascii="宋体" w:cs="宋体"/>
          <w:sz w:val="24"/>
          <w:szCs w:val="24"/>
        </w:rPr>
        <w:t>名</w:t>
      </w:r>
      <w:r>
        <w:rPr>
          <w:rFonts w:ascii="宋体" w:cs="宋体"/>
          <w:sz w:val="24"/>
          <w:szCs w:val="24"/>
        </w:rPr>
        <w:t xml:space="preserve">    </w:t>
      </w:r>
      <w:r>
        <w:rPr>
          <w:rFonts w:hint="eastAsia" w:ascii="宋体" w:cs="宋体"/>
          <w:sz w:val="24"/>
          <w:szCs w:val="24"/>
        </w:rPr>
        <w:t>称：建经投资咨询有限公司</w:t>
      </w:r>
      <w:r>
        <w:rPr>
          <w:rFonts w:ascii="宋体" w:cs="宋体"/>
          <w:sz w:val="24"/>
          <w:szCs w:val="24"/>
        </w:rPr>
        <w:t>             </w:t>
      </w:r>
    </w:p>
    <w:p>
      <w:pPr>
        <w:keepNext w:val="0"/>
        <w:keepLines w:val="0"/>
        <w:pageBreakBefore w:val="0"/>
        <w:kinsoku/>
        <w:wordWrap/>
        <w:overflowPunct/>
        <w:topLinePunct w:val="0"/>
        <w:bidi w:val="0"/>
        <w:snapToGrid w:val="0"/>
        <w:spacing w:line="324" w:lineRule="auto"/>
        <w:ind w:firstLine="600" w:firstLineChars="250"/>
        <w:rPr>
          <w:rFonts w:ascii="宋体" w:cs="宋体"/>
          <w:sz w:val="24"/>
          <w:szCs w:val="24"/>
        </w:rPr>
      </w:pPr>
      <w:r>
        <w:rPr>
          <w:rFonts w:hint="eastAsia" w:ascii="宋体" w:cs="宋体"/>
          <w:sz w:val="24"/>
          <w:szCs w:val="24"/>
        </w:rPr>
        <w:t>地</w:t>
      </w:r>
      <w:r>
        <w:rPr>
          <w:rFonts w:ascii="宋体" w:cs="宋体"/>
          <w:sz w:val="24"/>
          <w:szCs w:val="24"/>
        </w:rPr>
        <w:t xml:space="preserve">    </w:t>
      </w:r>
      <w:r>
        <w:rPr>
          <w:rFonts w:hint="eastAsia" w:ascii="宋体" w:cs="宋体"/>
          <w:sz w:val="24"/>
          <w:szCs w:val="24"/>
        </w:rPr>
        <w:t>址：浙江省温岭市万昌路服务业大厦</w:t>
      </w:r>
      <w:r>
        <w:rPr>
          <w:rFonts w:ascii="宋体" w:cs="宋体"/>
          <w:sz w:val="24"/>
          <w:szCs w:val="24"/>
        </w:rPr>
        <w:t>8</w:t>
      </w:r>
      <w:r>
        <w:rPr>
          <w:rFonts w:hint="eastAsia" w:ascii="宋体" w:cs="宋体"/>
          <w:sz w:val="24"/>
          <w:szCs w:val="24"/>
        </w:rPr>
        <w:t>楼</w:t>
      </w:r>
      <w:r>
        <w:rPr>
          <w:rFonts w:ascii="宋体" w:cs="宋体"/>
          <w:sz w:val="24"/>
          <w:szCs w:val="24"/>
        </w:rPr>
        <w:t>             </w:t>
      </w:r>
    </w:p>
    <w:p>
      <w:pPr>
        <w:keepNext w:val="0"/>
        <w:keepLines w:val="0"/>
        <w:pageBreakBefore w:val="0"/>
        <w:kinsoku/>
        <w:wordWrap/>
        <w:overflowPunct/>
        <w:topLinePunct w:val="0"/>
        <w:bidi w:val="0"/>
        <w:snapToGrid w:val="0"/>
        <w:spacing w:line="324" w:lineRule="auto"/>
        <w:ind w:firstLine="600" w:firstLineChars="250"/>
        <w:rPr>
          <w:rFonts w:ascii="宋体" w:cs="宋体"/>
          <w:sz w:val="24"/>
          <w:szCs w:val="24"/>
        </w:rPr>
      </w:pPr>
      <w:r>
        <w:rPr>
          <w:rFonts w:hint="eastAsia" w:ascii="宋体" w:cs="宋体"/>
          <w:sz w:val="24"/>
          <w:szCs w:val="24"/>
        </w:rPr>
        <w:t>传</w:t>
      </w:r>
      <w:r>
        <w:rPr>
          <w:rFonts w:ascii="宋体" w:cs="宋体"/>
          <w:sz w:val="24"/>
          <w:szCs w:val="24"/>
        </w:rPr>
        <w:t xml:space="preserve">    </w:t>
      </w:r>
      <w:r>
        <w:rPr>
          <w:rFonts w:hint="eastAsia" w:ascii="宋体" w:cs="宋体"/>
          <w:sz w:val="24"/>
          <w:szCs w:val="24"/>
        </w:rPr>
        <w:t>真：</w:t>
      </w:r>
      <w:r>
        <w:rPr>
          <w:rFonts w:ascii="宋体" w:cs="宋体"/>
          <w:sz w:val="24"/>
          <w:szCs w:val="24"/>
        </w:rPr>
        <w:t>0576-86087802             </w:t>
      </w:r>
    </w:p>
    <w:p>
      <w:pPr>
        <w:keepNext w:val="0"/>
        <w:keepLines w:val="0"/>
        <w:pageBreakBefore w:val="0"/>
        <w:kinsoku/>
        <w:wordWrap/>
        <w:overflowPunct/>
        <w:topLinePunct w:val="0"/>
        <w:bidi w:val="0"/>
        <w:snapToGrid w:val="0"/>
        <w:spacing w:line="324" w:lineRule="auto"/>
        <w:ind w:firstLine="600" w:firstLineChars="250"/>
        <w:rPr>
          <w:rFonts w:ascii="宋体" w:cs="宋体"/>
          <w:sz w:val="24"/>
          <w:szCs w:val="24"/>
        </w:rPr>
      </w:pPr>
      <w:r>
        <w:rPr>
          <w:rFonts w:hint="eastAsia" w:ascii="宋体" w:cs="宋体"/>
          <w:sz w:val="24"/>
          <w:szCs w:val="24"/>
        </w:rPr>
        <w:t>项目联系人（询问）：陈冠茜、</w:t>
      </w:r>
      <w:r>
        <w:rPr>
          <w:rFonts w:hint="eastAsia" w:ascii="宋体" w:cs="宋体"/>
          <w:sz w:val="24"/>
          <w:szCs w:val="24"/>
          <w:lang w:eastAsia="zh-CN"/>
        </w:rPr>
        <w:t>韩金伊</w:t>
      </w:r>
      <w:r>
        <w:rPr>
          <w:rFonts w:ascii="宋体" w:cs="宋体"/>
          <w:sz w:val="24"/>
          <w:szCs w:val="24"/>
        </w:rPr>
        <w:t>              </w:t>
      </w:r>
    </w:p>
    <w:p>
      <w:pPr>
        <w:keepNext w:val="0"/>
        <w:keepLines w:val="0"/>
        <w:pageBreakBefore w:val="0"/>
        <w:kinsoku/>
        <w:wordWrap/>
        <w:overflowPunct/>
        <w:topLinePunct w:val="0"/>
        <w:bidi w:val="0"/>
        <w:snapToGrid w:val="0"/>
        <w:spacing w:line="324" w:lineRule="auto"/>
        <w:ind w:firstLine="600" w:firstLineChars="250"/>
        <w:rPr>
          <w:rFonts w:hint="eastAsia" w:ascii="宋体" w:eastAsia="宋体" w:cs="宋体"/>
          <w:sz w:val="24"/>
          <w:szCs w:val="24"/>
          <w:lang w:eastAsia="zh-CN"/>
        </w:rPr>
      </w:pPr>
      <w:r>
        <w:rPr>
          <w:rFonts w:hint="eastAsia" w:ascii="宋体" w:cs="宋体"/>
          <w:sz w:val="24"/>
          <w:szCs w:val="24"/>
        </w:rPr>
        <w:t>项目联系方式（询问）：</w:t>
      </w:r>
      <w:r>
        <w:rPr>
          <w:rFonts w:ascii="宋体" w:cs="宋体"/>
          <w:sz w:val="24"/>
          <w:szCs w:val="24"/>
        </w:rPr>
        <w:t>0576-817610</w:t>
      </w:r>
      <w:r>
        <w:rPr>
          <w:rFonts w:hint="eastAsia" w:ascii="宋体" w:cs="宋体"/>
          <w:sz w:val="24"/>
          <w:szCs w:val="24"/>
          <w:lang w:val="en-US" w:eastAsia="zh-CN"/>
        </w:rPr>
        <w:t>88</w:t>
      </w:r>
      <w:r>
        <w:rPr>
          <w:rFonts w:ascii="宋体" w:cs="宋体"/>
          <w:sz w:val="24"/>
          <w:szCs w:val="24"/>
        </w:rPr>
        <w:t> </w:t>
      </w:r>
      <w:r>
        <w:rPr>
          <w:rFonts w:hint="eastAsia" w:ascii="宋体" w:cs="宋体"/>
          <w:sz w:val="24"/>
          <w:szCs w:val="24"/>
          <w:lang w:eastAsia="zh-CN"/>
        </w:rPr>
        <w:t>、</w:t>
      </w:r>
      <w:r>
        <w:rPr>
          <w:rFonts w:hint="eastAsia" w:ascii="宋体" w:cs="宋体"/>
          <w:sz w:val="24"/>
          <w:szCs w:val="24"/>
        </w:rPr>
        <w:t>0576-817610</w:t>
      </w:r>
      <w:r>
        <w:rPr>
          <w:rFonts w:hint="eastAsia" w:ascii="宋体" w:cs="宋体"/>
          <w:sz w:val="24"/>
          <w:szCs w:val="24"/>
          <w:lang w:val="en-US" w:eastAsia="zh-CN"/>
        </w:rPr>
        <w:t>86</w:t>
      </w:r>
    </w:p>
    <w:p>
      <w:pPr>
        <w:keepNext w:val="0"/>
        <w:keepLines w:val="0"/>
        <w:pageBreakBefore w:val="0"/>
        <w:kinsoku/>
        <w:wordWrap/>
        <w:overflowPunct/>
        <w:topLinePunct w:val="0"/>
        <w:bidi w:val="0"/>
        <w:snapToGrid w:val="0"/>
        <w:spacing w:line="324" w:lineRule="auto"/>
        <w:ind w:firstLine="600" w:firstLineChars="250"/>
        <w:rPr>
          <w:rFonts w:ascii="宋体" w:cs="宋体"/>
          <w:sz w:val="24"/>
          <w:szCs w:val="24"/>
        </w:rPr>
      </w:pPr>
      <w:r>
        <w:rPr>
          <w:rFonts w:hint="eastAsia" w:ascii="宋体" w:cs="宋体"/>
          <w:sz w:val="24"/>
          <w:szCs w:val="24"/>
        </w:rPr>
        <w:t>质疑联系人：吕玉平</w:t>
      </w:r>
      <w:r>
        <w:rPr>
          <w:rFonts w:ascii="宋体" w:cs="宋体"/>
          <w:sz w:val="24"/>
          <w:szCs w:val="24"/>
        </w:rPr>
        <w:t>             </w:t>
      </w:r>
    </w:p>
    <w:p>
      <w:pPr>
        <w:keepNext w:val="0"/>
        <w:keepLines w:val="0"/>
        <w:pageBreakBefore w:val="0"/>
        <w:kinsoku/>
        <w:wordWrap/>
        <w:overflowPunct/>
        <w:topLinePunct w:val="0"/>
        <w:bidi w:val="0"/>
        <w:snapToGrid w:val="0"/>
        <w:spacing w:line="324" w:lineRule="auto"/>
        <w:ind w:firstLine="600" w:firstLineChars="250"/>
        <w:rPr>
          <w:rFonts w:ascii="宋体" w:cs="宋体"/>
          <w:sz w:val="24"/>
          <w:szCs w:val="24"/>
        </w:rPr>
      </w:pPr>
      <w:r>
        <w:rPr>
          <w:rFonts w:hint="eastAsia" w:ascii="宋体" w:cs="宋体"/>
          <w:sz w:val="24"/>
          <w:szCs w:val="24"/>
        </w:rPr>
        <w:t>质疑联系方式：</w:t>
      </w:r>
      <w:r>
        <w:rPr>
          <w:rFonts w:ascii="宋体" w:cs="宋体"/>
          <w:sz w:val="24"/>
          <w:szCs w:val="24"/>
        </w:rPr>
        <w:t>0576-817610</w:t>
      </w:r>
      <w:r>
        <w:rPr>
          <w:rFonts w:hint="eastAsia" w:ascii="宋体" w:cs="宋体"/>
          <w:sz w:val="24"/>
          <w:szCs w:val="24"/>
          <w:lang w:val="en-US" w:eastAsia="zh-CN"/>
        </w:rPr>
        <w:t>88</w:t>
      </w:r>
      <w:r>
        <w:rPr>
          <w:rFonts w:ascii="宋体" w:cs="宋体"/>
          <w:sz w:val="24"/>
          <w:szCs w:val="24"/>
        </w:rPr>
        <w:t> </w:t>
      </w:r>
      <w:r>
        <w:rPr>
          <w:rFonts w:hint="eastAsia" w:ascii="宋体" w:cs="宋体"/>
          <w:sz w:val="24"/>
          <w:szCs w:val="24"/>
        </w:rPr>
        <w:t>　　　　　　</w:t>
      </w:r>
      <w:r>
        <w:rPr>
          <w:rFonts w:ascii="宋体" w:cs="宋体"/>
          <w:sz w:val="24"/>
          <w:szCs w:val="24"/>
        </w:rPr>
        <w:t>     </w:t>
      </w:r>
    </w:p>
    <w:p>
      <w:pPr>
        <w:keepNext w:val="0"/>
        <w:keepLines w:val="0"/>
        <w:pageBreakBefore w:val="0"/>
        <w:kinsoku/>
        <w:wordWrap/>
        <w:overflowPunct/>
        <w:topLinePunct w:val="0"/>
        <w:bidi w:val="0"/>
        <w:snapToGrid w:val="0"/>
        <w:spacing w:line="324" w:lineRule="auto"/>
        <w:ind w:firstLine="600" w:firstLineChars="250"/>
        <w:rPr>
          <w:rFonts w:ascii="宋体" w:cs="宋体"/>
          <w:sz w:val="24"/>
          <w:szCs w:val="24"/>
        </w:rPr>
      </w:pPr>
      <w:r>
        <w:rPr>
          <w:rFonts w:ascii="宋体" w:cs="宋体"/>
          <w:b/>
          <w:bCs/>
          <w:sz w:val="24"/>
          <w:szCs w:val="24"/>
        </w:rPr>
        <w:t>3.</w:t>
      </w:r>
      <w:r>
        <w:rPr>
          <w:rFonts w:hint="eastAsia" w:ascii="宋体" w:cs="宋体"/>
          <w:b/>
          <w:bCs/>
          <w:sz w:val="24"/>
          <w:szCs w:val="24"/>
        </w:rPr>
        <w:t>同级政府采购监督管理部门</w:t>
      </w:r>
      <w:r>
        <w:rPr>
          <w:rFonts w:ascii="宋体" w:cs="宋体"/>
          <w:sz w:val="24"/>
          <w:szCs w:val="24"/>
        </w:rPr>
        <w:t>            </w:t>
      </w:r>
    </w:p>
    <w:p>
      <w:pPr>
        <w:keepNext w:val="0"/>
        <w:keepLines w:val="0"/>
        <w:pageBreakBefore w:val="0"/>
        <w:kinsoku/>
        <w:wordWrap/>
        <w:overflowPunct/>
        <w:topLinePunct w:val="0"/>
        <w:bidi w:val="0"/>
        <w:snapToGrid w:val="0"/>
        <w:spacing w:line="324" w:lineRule="auto"/>
        <w:ind w:firstLine="600" w:firstLineChars="250"/>
        <w:rPr>
          <w:rFonts w:ascii="宋体" w:cs="宋体"/>
          <w:sz w:val="24"/>
          <w:szCs w:val="24"/>
        </w:rPr>
      </w:pPr>
      <w:r>
        <w:rPr>
          <w:rFonts w:hint="eastAsia" w:ascii="宋体" w:cs="宋体"/>
          <w:sz w:val="24"/>
          <w:szCs w:val="24"/>
        </w:rPr>
        <w:t>名</w:t>
      </w:r>
      <w:r>
        <w:rPr>
          <w:rFonts w:ascii="宋体" w:cs="宋体"/>
          <w:sz w:val="24"/>
          <w:szCs w:val="24"/>
        </w:rPr>
        <w:t xml:space="preserve">    </w:t>
      </w:r>
      <w:r>
        <w:rPr>
          <w:rFonts w:hint="eastAsia" w:ascii="宋体" w:cs="宋体"/>
          <w:sz w:val="24"/>
          <w:szCs w:val="24"/>
        </w:rPr>
        <w:t>称：温岭市财政局</w:t>
      </w:r>
      <w:r>
        <w:rPr>
          <w:rFonts w:ascii="宋体" w:cs="宋体"/>
          <w:sz w:val="24"/>
          <w:szCs w:val="24"/>
        </w:rPr>
        <w:t>             </w:t>
      </w:r>
    </w:p>
    <w:p>
      <w:pPr>
        <w:keepNext w:val="0"/>
        <w:keepLines w:val="0"/>
        <w:pageBreakBefore w:val="0"/>
        <w:kinsoku/>
        <w:wordWrap/>
        <w:overflowPunct/>
        <w:topLinePunct w:val="0"/>
        <w:bidi w:val="0"/>
        <w:snapToGrid w:val="0"/>
        <w:spacing w:line="324" w:lineRule="auto"/>
        <w:ind w:firstLine="600" w:firstLineChars="250"/>
        <w:rPr>
          <w:rFonts w:ascii="宋体" w:cs="宋体"/>
          <w:sz w:val="24"/>
          <w:szCs w:val="24"/>
        </w:rPr>
      </w:pPr>
      <w:r>
        <w:rPr>
          <w:rFonts w:hint="eastAsia" w:ascii="宋体" w:cs="宋体"/>
          <w:sz w:val="24"/>
          <w:szCs w:val="24"/>
        </w:rPr>
        <w:t>地</w:t>
      </w:r>
      <w:r>
        <w:rPr>
          <w:rFonts w:ascii="宋体" w:cs="宋体"/>
          <w:sz w:val="24"/>
          <w:szCs w:val="24"/>
        </w:rPr>
        <w:t xml:space="preserve">    </w:t>
      </w:r>
      <w:r>
        <w:rPr>
          <w:rFonts w:hint="eastAsia" w:ascii="宋体" w:cs="宋体"/>
          <w:sz w:val="24"/>
          <w:szCs w:val="24"/>
        </w:rPr>
        <w:t>址：浙江省温岭市太平街道中华路</w:t>
      </w:r>
      <w:r>
        <w:rPr>
          <w:rFonts w:ascii="宋体" w:cs="宋体"/>
          <w:sz w:val="24"/>
          <w:szCs w:val="24"/>
        </w:rPr>
        <w:t>29</w:t>
      </w:r>
      <w:r>
        <w:rPr>
          <w:rFonts w:hint="eastAsia" w:ascii="宋体" w:cs="宋体"/>
          <w:sz w:val="24"/>
          <w:szCs w:val="24"/>
        </w:rPr>
        <w:t>号</w:t>
      </w:r>
      <w:r>
        <w:rPr>
          <w:rFonts w:ascii="宋体" w:cs="宋体"/>
          <w:sz w:val="24"/>
          <w:szCs w:val="24"/>
        </w:rPr>
        <w:t>                      </w:t>
      </w:r>
    </w:p>
    <w:p>
      <w:pPr>
        <w:keepNext w:val="0"/>
        <w:keepLines w:val="0"/>
        <w:pageBreakBefore w:val="0"/>
        <w:kinsoku/>
        <w:wordWrap/>
        <w:overflowPunct/>
        <w:topLinePunct w:val="0"/>
        <w:bidi w:val="0"/>
        <w:snapToGrid w:val="0"/>
        <w:spacing w:line="324" w:lineRule="auto"/>
        <w:ind w:firstLine="600" w:firstLineChars="250"/>
        <w:rPr>
          <w:rFonts w:hint="eastAsia" w:ascii="宋体" w:hAnsi="Times New Roman" w:eastAsia="宋体" w:cs="宋体"/>
          <w:sz w:val="24"/>
          <w:szCs w:val="24"/>
        </w:rPr>
      </w:pPr>
      <w:r>
        <w:rPr>
          <w:rFonts w:hint="eastAsia" w:ascii="宋体" w:hAnsi="Times New Roman" w:eastAsia="宋体" w:cs="宋体"/>
          <w:sz w:val="24"/>
          <w:szCs w:val="24"/>
        </w:rPr>
        <w:t>联系人 ：温岭市财政局政府采购监管科</w:t>
      </w:r>
    </w:p>
    <w:p>
      <w:pPr>
        <w:keepNext w:val="0"/>
        <w:keepLines w:val="0"/>
        <w:pageBreakBefore w:val="0"/>
        <w:kinsoku/>
        <w:wordWrap/>
        <w:overflowPunct/>
        <w:topLinePunct w:val="0"/>
        <w:bidi w:val="0"/>
        <w:snapToGrid w:val="0"/>
        <w:spacing w:line="324" w:lineRule="auto"/>
        <w:ind w:firstLine="600" w:firstLineChars="250"/>
        <w:rPr>
          <w:rFonts w:hint="eastAsia" w:ascii="宋体" w:hAnsi="Times New Roman" w:eastAsia="宋体" w:cs="宋体"/>
          <w:sz w:val="24"/>
          <w:szCs w:val="24"/>
        </w:rPr>
      </w:pPr>
      <w:r>
        <w:rPr>
          <w:rFonts w:hint="eastAsia" w:ascii="宋体" w:hAnsi="Times New Roman" w:eastAsia="宋体" w:cs="宋体"/>
          <w:sz w:val="24"/>
          <w:szCs w:val="24"/>
        </w:rPr>
        <w:t>监督投诉电话：0576-86086511</w:t>
      </w:r>
    </w:p>
    <w:p>
      <w:pPr>
        <w:spacing w:line="360" w:lineRule="auto"/>
        <w:jc w:val="center"/>
        <w:outlineLvl w:val="0"/>
        <w:rPr>
          <w:rFonts w:ascii="宋体" w:cs="宋体"/>
          <w:b/>
          <w:bCs/>
          <w:kern w:val="0"/>
          <w:sz w:val="36"/>
          <w:szCs w:val="36"/>
        </w:rPr>
      </w:pPr>
      <w:r>
        <w:rPr>
          <w:rFonts w:hint="eastAsia" w:ascii="宋体" w:hAnsi="宋体" w:cs="宋体"/>
          <w:b/>
          <w:bCs/>
          <w:kern w:val="0"/>
          <w:sz w:val="36"/>
          <w:szCs w:val="36"/>
        </w:rPr>
        <w:br w:type="page"/>
      </w:r>
      <w:bookmarkStart w:id="11" w:name="_Toc32386"/>
      <w:r>
        <w:rPr>
          <w:rFonts w:hint="eastAsia" w:ascii="宋体" w:hAnsi="宋体" w:cs="宋体"/>
          <w:b/>
          <w:bCs/>
          <w:kern w:val="0"/>
          <w:sz w:val="36"/>
          <w:szCs w:val="36"/>
        </w:rPr>
        <w:t>第二章 投标人须知</w:t>
      </w:r>
      <w:bookmarkEnd w:id="11"/>
    </w:p>
    <w:p>
      <w:pPr>
        <w:spacing w:line="360" w:lineRule="auto"/>
        <w:jc w:val="center"/>
        <w:rPr>
          <w:rFonts w:ascii="宋体" w:cs="宋体"/>
          <w:b/>
          <w:bCs/>
          <w:sz w:val="28"/>
          <w:szCs w:val="28"/>
        </w:rPr>
      </w:pPr>
      <w:r>
        <w:rPr>
          <w:rFonts w:hint="eastAsia" w:ascii="宋体" w:hAnsi="宋体" w:cs="宋体"/>
          <w:b/>
          <w:bCs/>
          <w:sz w:val="28"/>
          <w:szCs w:val="28"/>
        </w:rPr>
        <w:t>前附表</w:t>
      </w:r>
    </w:p>
    <w:tbl>
      <w:tblPr>
        <w:tblStyle w:val="20"/>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202"/>
        <w:gridCol w:w="2551"/>
        <w:gridCol w:w="3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715" w:type="dxa"/>
            <w:tcBorders>
              <w:tl2br w:val="nil"/>
              <w:tr2bl w:val="nil"/>
            </w:tcBorders>
            <w:vAlign w:val="center"/>
          </w:tcPr>
          <w:p>
            <w:pPr>
              <w:spacing w:line="360" w:lineRule="exact"/>
              <w:jc w:val="center"/>
              <w:rPr>
                <w:rFonts w:ascii="宋体" w:cs="宋体"/>
                <w:b/>
                <w:bCs/>
                <w:sz w:val="24"/>
                <w:szCs w:val="24"/>
              </w:rPr>
            </w:pPr>
            <w:r>
              <w:rPr>
                <w:rFonts w:hint="eastAsia" w:ascii="宋体" w:hAnsi="宋体" w:cs="宋体"/>
                <w:b/>
                <w:bCs/>
                <w:sz w:val="24"/>
                <w:szCs w:val="24"/>
              </w:rPr>
              <w:t>序号</w:t>
            </w:r>
          </w:p>
        </w:tc>
        <w:tc>
          <w:tcPr>
            <w:tcW w:w="2202" w:type="dxa"/>
            <w:tcBorders>
              <w:tl2br w:val="nil"/>
              <w:tr2bl w:val="nil"/>
            </w:tcBorders>
            <w:vAlign w:val="center"/>
          </w:tcPr>
          <w:p>
            <w:pPr>
              <w:spacing w:line="360" w:lineRule="exact"/>
              <w:jc w:val="center"/>
              <w:rPr>
                <w:rFonts w:ascii="宋体" w:cs="宋体"/>
                <w:b/>
                <w:bCs/>
                <w:sz w:val="24"/>
                <w:szCs w:val="24"/>
              </w:rPr>
            </w:pPr>
            <w:r>
              <w:rPr>
                <w:rFonts w:hint="eastAsia" w:ascii="宋体" w:hAnsi="宋体" w:cs="宋体"/>
                <w:b/>
                <w:bCs/>
                <w:sz w:val="24"/>
                <w:szCs w:val="24"/>
              </w:rPr>
              <w:t>项</w:t>
            </w:r>
            <w:r>
              <w:rPr>
                <w:rFonts w:ascii="宋体" w:hAnsi="宋体" w:cs="宋体"/>
                <w:b/>
                <w:bCs/>
                <w:sz w:val="24"/>
                <w:szCs w:val="24"/>
              </w:rPr>
              <w:t xml:space="preserve">    </w:t>
            </w:r>
            <w:r>
              <w:rPr>
                <w:rFonts w:hint="eastAsia" w:ascii="宋体" w:hAnsi="宋体" w:cs="宋体"/>
                <w:b/>
                <w:bCs/>
                <w:sz w:val="24"/>
                <w:szCs w:val="24"/>
              </w:rPr>
              <w:t>目</w:t>
            </w:r>
          </w:p>
        </w:tc>
        <w:tc>
          <w:tcPr>
            <w:tcW w:w="6122" w:type="dxa"/>
            <w:gridSpan w:val="2"/>
            <w:tcBorders>
              <w:tl2br w:val="nil"/>
              <w:tr2bl w:val="nil"/>
            </w:tcBorders>
            <w:vAlign w:val="center"/>
          </w:tcPr>
          <w:p>
            <w:pPr>
              <w:spacing w:line="360" w:lineRule="exact"/>
              <w:jc w:val="center"/>
              <w:rPr>
                <w:rFonts w:ascii="宋体" w:cs="宋体"/>
                <w:b/>
                <w:bCs/>
                <w:sz w:val="24"/>
                <w:szCs w:val="24"/>
              </w:rPr>
            </w:pPr>
            <w:r>
              <w:rPr>
                <w:rFonts w:hint="eastAsia" w:ascii="宋体" w:hAnsi="宋体" w:cs="宋体"/>
                <w:b/>
                <w:bCs/>
                <w:sz w:val="24"/>
                <w:szCs w:val="24"/>
              </w:rPr>
              <w:t>内</w:t>
            </w:r>
            <w:r>
              <w:rPr>
                <w:rFonts w:ascii="宋体" w:hAnsi="宋体" w:cs="宋体"/>
                <w:b/>
                <w:bCs/>
                <w:sz w:val="24"/>
                <w:szCs w:val="24"/>
              </w:rPr>
              <w:t xml:space="preserve">                 </w:t>
            </w:r>
            <w:r>
              <w:rPr>
                <w:rFonts w:hint="eastAsia" w:ascii="宋体" w:hAnsi="宋体" w:cs="宋体"/>
                <w:b/>
                <w:bCs/>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1</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采购项目</w:t>
            </w:r>
          </w:p>
        </w:tc>
        <w:tc>
          <w:tcPr>
            <w:tcW w:w="6122" w:type="dxa"/>
            <w:gridSpan w:val="2"/>
            <w:tcBorders>
              <w:tl2br w:val="nil"/>
              <w:tr2bl w:val="nil"/>
            </w:tcBorders>
            <w:vAlign w:val="center"/>
          </w:tcPr>
          <w:p>
            <w:pPr>
              <w:pStyle w:val="17"/>
              <w:tabs>
                <w:tab w:val="left" w:pos="6930"/>
              </w:tabs>
              <w:spacing w:before="0" w:beforeAutospacing="0" w:after="0" w:afterAutospacing="0" w:line="360" w:lineRule="exact"/>
              <w:rPr>
                <w:kern w:val="2"/>
                <w:sz w:val="22"/>
                <w:szCs w:val="22"/>
                <w:lang w:val="zh-CN"/>
              </w:rPr>
            </w:pPr>
            <w:r>
              <w:rPr>
                <w:rFonts w:hint="eastAsia"/>
                <w:kern w:val="2"/>
                <w:sz w:val="22"/>
                <w:szCs w:val="22"/>
                <w:lang w:val="zh-CN"/>
              </w:rPr>
              <w:t>项目名称：温岭市新河镇2024年度病媒生物防制专业化服务项目采购</w:t>
            </w:r>
          </w:p>
          <w:p>
            <w:pPr>
              <w:pStyle w:val="17"/>
              <w:tabs>
                <w:tab w:val="left" w:pos="6930"/>
              </w:tabs>
              <w:spacing w:before="0" w:beforeAutospacing="0" w:after="0" w:afterAutospacing="0" w:line="360" w:lineRule="exact"/>
              <w:rPr>
                <w:kern w:val="2"/>
                <w:sz w:val="22"/>
                <w:szCs w:val="22"/>
                <w:lang w:val="zh-CN"/>
              </w:rPr>
            </w:pPr>
            <w:r>
              <w:rPr>
                <w:rFonts w:hint="eastAsia"/>
                <w:kern w:val="2"/>
                <w:sz w:val="22"/>
                <w:szCs w:val="22"/>
                <w:lang w:val="zh-CN"/>
              </w:rPr>
              <w:t xml:space="preserve">项目编号：JJWL24031981 </w:t>
            </w:r>
          </w:p>
          <w:p>
            <w:pPr>
              <w:pStyle w:val="17"/>
              <w:tabs>
                <w:tab w:val="left" w:pos="6930"/>
              </w:tabs>
              <w:spacing w:before="0" w:beforeAutospacing="0" w:after="0" w:afterAutospacing="0" w:line="360" w:lineRule="exact"/>
            </w:pPr>
            <w:r>
              <w:rPr>
                <w:rFonts w:hint="eastAsia"/>
                <w:kern w:val="2"/>
                <w:sz w:val="22"/>
                <w:szCs w:val="22"/>
                <w:lang w:val="zh-CN"/>
              </w:rPr>
              <w:t>项目内容：详见第</w:t>
            </w:r>
            <w:r>
              <w:rPr>
                <w:rFonts w:hint="eastAsia"/>
                <w:kern w:val="2"/>
                <w:sz w:val="22"/>
                <w:szCs w:val="22"/>
              </w:rPr>
              <w:t>四</w:t>
            </w:r>
            <w:r>
              <w:rPr>
                <w:rFonts w:hint="eastAsia"/>
                <w:kern w:val="2"/>
                <w:sz w:val="22"/>
                <w:szCs w:val="22"/>
                <w:lang w:val="zh-CN"/>
              </w:rPr>
              <w:t>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2</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采购方式</w:t>
            </w:r>
          </w:p>
        </w:tc>
        <w:tc>
          <w:tcPr>
            <w:tcW w:w="6122" w:type="dxa"/>
            <w:gridSpan w:val="2"/>
            <w:tcBorders>
              <w:tl2br w:val="nil"/>
              <w:tr2bl w:val="nil"/>
            </w:tcBorders>
            <w:vAlign w:val="center"/>
          </w:tcPr>
          <w:p>
            <w:pPr>
              <w:spacing w:line="360" w:lineRule="exact"/>
              <w:rPr>
                <w:rFonts w:ascii="宋体" w:cs="宋体"/>
                <w:sz w:val="24"/>
                <w:szCs w:val="24"/>
              </w:rPr>
            </w:pPr>
            <w:r>
              <w:rPr>
                <w:rFonts w:hint="eastAsia" w:ascii="宋体" w:hAnsi="宋体" w:cs="宋体"/>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2"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3</w:t>
            </w:r>
          </w:p>
        </w:tc>
        <w:tc>
          <w:tcPr>
            <w:tcW w:w="2202" w:type="dxa"/>
            <w:tcBorders>
              <w:tl2br w:val="nil"/>
              <w:tr2bl w:val="nil"/>
            </w:tcBorders>
            <w:vAlign w:val="center"/>
          </w:tcPr>
          <w:p>
            <w:pPr>
              <w:pStyle w:val="17"/>
              <w:tabs>
                <w:tab w:val="left" w:pos="6930"/>
              </w:tabs>
              <w:spacing w:before="0" w:beforeAutospacing="0" w:after="0" w:afterAutospacing="0" w:line="360" w:lineRule="exact"/>
              <w:jc w:val="center"/>
              <w:rPr>
                <w:kern w:val="2"/>
              </w:rPr>
            </w:pPr>
            <w:r>
              <w:rPr>
                <w:rFonts w:hint="eastAsia"/>
                <w:kern w:val="2"/>
              </w:rPr>
              <w:t>投标文件形式、组成及制作</w:t>
            </w:r>
          </w:p>
          <w:p>
            <w:pPr>
              <w:pStyle w:val="17"/>
              <w:tabs>
                <w:tab w:val="left" w:pos="6930"/>
              </w:tabs>
              <w:spacing w:before="0" w:beforeAutospacing="0" w:after="0" w:afterAutospacing="0" w:line="360" w:lineRule="exact"/>
            </w:pPr>
          </w:p>
        </w:tc>
        <w:tc>
          <w:tcPr>
            <w:tcW w:w="6122" w:type="dxa"/>
            <w:gridSpan w:val="2"/>
            <w:tcBorders>
              <w:tl2br w:val="nil"/>
              <w:tr2bl w:val="nil"/>
            </w:tcBorders>
            <w:vAlign w:val="center"/>
          </w:tcPr>
          <w:p>
            <w:pPr>
              <w:pStyle w:val="17"/>
              <w:tabs>
                <w:tab w:val="left" w:pos="6930"/>
              </w:tabs>
              <w:spacing w:before="0" w:beforeAutospacing="0" w:after="0" w:afterAutospacing="0" w:line="360" w:lineRule="exact"/>
              <w:rPr>
                <w:kern w:val="2"/>
                <w:sz w:val="22"/>
                <w:szCs w:val="22"/>
                <w:lang w:val="zh-CN"/>
              </w:rPr>
            </w:pPr>
            <w:r>
              <w:rPr>
                <w:rFonts w:hint="eastAsia"/>
                <w:kern w:val="2"/>
                <w:sz w:val="22"/>
                <w:szCs w:val="22"/>
                <w:lang w:val="zh-CN"/>
              </w:rPr>
              <w:t>1.投标文件的形式：电子投标文件（包括“电子加密投标文件”和“备份投标文件”，在投标文件编制完成后同时生成）；</w:t>
            </w:r>
          </w:p>
          <w:p>
            <w:pPr>
              <w:pStyle w:val="17"/>
              <w:tabs>
                <w:tab w:val="left" w:pos="6930"/>
              </w:tabs>
              <w:spacing w:before="0" w:beforeAutospacing="0" w:after="0" w:afterAutospacing="0" w:line="360" w:lineRule="exact"/>
              <w:rPr>
                <w:kern w:val="2"/>
                <w:sz w:val="22"/>
                <w:szCs w:val="22"/>
                <w:lang w:val="zh-CN"/>
              </w:rPr>
            </w:pPr>
            <w:r>
              <w:rPr>
                <w:rFonts w:hint="eastAsia"/>
                <w:kern w:val="2"/>
                <w:sz w:val="22"/>
                <w:szCs w:val="22"/>
                <w:lang w:val="zh-CN"/>
              </w:rPr>
              <w:t>1）“电子加密投标文件”是指通过“政采云电子交易客户端”完成投标文件编制后生成并加密的数据电文形式的投标文件。</w:t>
            </w:r>
          </w:p>
          <w:p>
            <w:pPr>
              <w:pStyle w:val="17"/>
              <w:tabs>
                <w:tab w:val="left" w:pos="6930"/>
              </w:tabs>
              <w:spacing w:before="0" w:beforeAutospacing="0" w:after="0" w:afterAutospacing="0" w:line="360" w:lineRule="exact"/>
              <w:rPr>
                <w:kern w:val="2"/>
                <w:sz w:val="22"/>
                <w:szCs w:val="22"/>
                <w:lang w:val="zh-CN"/>
              </w:rPr>
            </w:pPr>
            <w:r>
              <w:rPr>
                <w:rFonts w:hint="eastAsia"/>
                <w:kern w:val="2"/>
                <w:sz w:val="22"/>
                <w:szCs w:val="22"/>
                <w:lang w:val="zh-CN"/>
              </w:rPr>
              <w:t>2）“备份投标文件”是指与“电子加密投标文件”同时生成的数据电文形式的电子文件（备份标书），其他方式编制的“备份投标文件”视为无效“备份投标文件”。</w:t>
            </w:r>
          </w:p>
          <w:p>
            <w:pPr>
              <w:pStyle w:val="17"/>
              <w:tabs>
                <w:tab w:val="left" w:pos="6930"/>
              </w:tabs>
              <w:spacing w:before="0" w:beforeAutospacing="0" w:after="0" w:afterAutospacing="0" w:line="360" w:lineRule="exact"/>
              <w:rPr>
                <w:kern w:val="2"/>
                <w:sz w:val="22"/>
                <w:szCs w:val="22"/>
                <w:lang w:val="zh-CN"/>
              </w:rPr>
            </w:pPr>
            <w:r>
              <w:rPr>
                <w:rFonts w:hint="eastAsia"/>
                <w:kern w:val="2"/>
                <w:sz w:val="22"/>
                <w:szCs w:val="22"/>
                <w:lang w:val="zh-CN"/>
              </w:rPr>
              <w:t>2.投标文件由资格证明文件、商务技术文件、报价文件组成；</w:t>
            </w:r>
          </w:p>
          <w:p>
            <w:pPr>
              <w:pStyle w:val="17"/>
              <w:tabs>
                <w:tab w:val="left" w:pos="6930"/>
              </w:tabs>
              <w:spacing w:before="0" w:beforeAutospacing="0" w:after="0" w:afterAutospacing="0" w:line="360" w:lineRule="exact"/>
              <w:rPr>
                <w:kern w:val="2"/>
                <w:sz w:val="22"/>
                <w:szCs w:val="22"/>
                <w:lang w:val="zh-CN"/>
              </w:rPr>
            </w:pPr>
            <w:r>
              <w:rPr>
                <w:rFonts w:hint="eastAsia"/>
                <w:kern w:val="2"/>
                <w:sz w:val="22"/>
                <w:szCs w:val="22"/>
                <w:lang w:val="zh-CN"/>
              </w:rPr>
              <w:t>3.电子加密投标文件制作：应按政府采购云平台供应商项目采购－电子招投标操作指南（网址：</w:t>
            </w:r>
            <w:r>
              <w:fldChar w:fldCharType="begin"/>
            </w:r>
            <w:r>
              <w:instrText xml:space="preserve"> HYPERLINK "https://help.zcy.gov.cn/web/site_2/2018/12-28/2573.html）及本采购文件要求制作" </w:instrText>
            </w:r>
            <w:r>
              <w:fldChar w:fldCharType="separate"/>
            </w:r>
            <w:r>
              <w:rPr>
                <w:rFonts w:hint="eastAsia"/>
                <w:kern w:val="2"/>
                <w:sz w:val="22"/>
                <w:szCs w:val="22"/>
                <w:lang w:val="zh-CN"/>
              </w:rPr>
              <w:t>https://help.zcy.gov.cn/web/site_2/2018/12-28/2573.html）及本招标文件要求制作</w:t>
            </w:r>
            <w:r>
              <w:rPr>
                <w:rFonts w:hint="eastAsia"/>
                <w:kern w:val="2"/>
                <w:sz w:val="22"/>
                <w:szCs w:val="22"/>
                <w:lang w:val="zh-CN"/>
              </w:rPr>
              <w:fldChar w:fldCharType="end"/>
            </w:r>
            <w:r>
              <w:rPr>
                <w:rFonts w:hint="eastAsia"/>
                <w:kern w:val="2"/>
                <w:sz w:val="22"/>
                <w:szCs w:val="22"/>
                <w:lang w:val="zh-CN"/>
              </w:rPr>
              <w:t>、加密并递交。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hint="eastAsia" w:ascii="宋体" w:hAnsi="宋体" w:cs="宋体"/>
                <w:sz w:val="24"/>
                <w:szCs w:val="24"/>
              </w:rPr>
              <w:t>4</w:t>
            </w:r>
          </w:p>
        </w:tc>
        <w:tc>
          <w:tcPr>
            <w:tcW w:w="2202" w:type="dxa"/>
            <w:tcBorders>
              <w:tl2br w:val="nil"/>
              <w:tr2bl w:val="nil"/>
            </w:tcBorders>
            <w:vAlign w:val="center"/>
          </w:tcPr>
          <w:p>
            <w:pPr>
              <w:snapToGrid w:val="0"/>
              <w:spacing w:line="360" w:lineRule="exact"/>
              <w:jc w:val="center"/>
              <w:rPr>
                <w:rFonts w:ascii="宋体" w:hAnsi="宋体" w:cs="宋体"/>
              </w:rPr>
            </w:pPr>
            <w:r>
              <w:rPr>
                <w:rFonts w:hint="eastAsia" w:ascii="宋体" w:hAnsi="宋体" w:cs="宋体"/>
                <w:sz w:val="24"/>
                <w:szCs w:val="24"/>
              </w:rPr>
              <w:t>投标文件递交截止时间（开标时间）及地点</w:t>
            </w:r>
          </w:p>
        </w:tc>
        <w:tc>
          <w:tcPr>
            <w:tcW w:w="6122" w:type="dxa"/>
            <w:gridSpan w:val="2"/>
            <w:tcBorders>
              <w:tl2br w:val="nil"/>
              <w:tr2bl w:val="nil"/>
            </w:tcBorders>
            <w:vAlign w:val="center"/>
          </w:tcPr>
          <w:p>
            <w:pPr>
              <w:pStyle w:val="17"/>
              <w:tabs>
                <w:tab w:val="left" w:pos="6930"/>
              </w:tabs>
              <w:spacing w:before="0" w:beforeAutospacing="0" w:after="0" w:afterAutospacing="0" w:line="360" w:lineRule="exact"/>
              <w:rPr>
                <w:kern w:val="2"/>
                <w:sz w:val="22"/>
                <w:szCs w:val="22"/>
                <w:lang w:val="zh-CN"/>
              </w:rPr>
            </w:pPr>
            <w:r>
              <w:rPr>
                <w:rFonts w:hint="eastAsia"/>
                <w:kern w:val="2"/>
                <w:sz w:val="22"/>
                <w:szCs w:val="22"/>
                <w:lang w:val="zh-CN"/>
              </w:rPr>
              <w:t>1.“电子加密投标文件”递交：投标人应于项目提交投标文件截止时间前将“电子加密投标文件”上传至“政府采购云平台”，逾期未上传的，视为撤回投标文件。</w:t>
            </w:r>
          </w:p>
          <w:p>
            <w:pPr>
              <w:pStyle w:val="17"/>
              <w:tabs>
                <w:tab w:val="left" w:pos="6930"/>
              </w:tabs>
              <w:spacing w:before="0" w:beforeAutospacing="0" w:after="0" w:afterAutospacing="0" w:line="360" w:lineRule="exact"/>
              <w:rPr>
                <w:kern w:val="2"/>
                <w:sz w:val="22"/>
                <w:szCs w:val="22"/>
                <w:lang w:val="zh-CN"/>
              </w:rPr>
            </w:pPr>
            <w:r>
              <w:rPr>
                <w:rFonts w:hint="eastAsia"/>
                <w:kern w:val="2"/>
                <w:sz w:val="22"/>
                <w:szCs w:val="22"/>
                <w:lang w:val="zh-CN"/>
              </w:rPr>
              <w:fldChar w:fldCharType="begin"/>
            </w:r>
            <w:r>
              <w:rPr>
                <w:rFonts w:hint="eastAsia"/>
                <w:kern w:val="2"/>
                <w:sz w:val="22"/>
                <w:szCs w:val="22"/>
                <w:lang w:val="zh-CN"/>
              </w:rPr>
              <w:instrText xml:space="preserve"> HYPERLINK "mailto:2.备份投标文件在开标时间后15分钟内以电子邮件形式递交至采购代理机构邮箱（103874679@qq.com）。" </w:instrText>
            </w:r>
            <w:r>
              <w:rPr>
                <w:rFonts w:hint="eastAsia"/>
                <w:kern w:val="2"/>
                <w:sz w:val="22"/>
                <w:szCs w:val="22"/>
                <w:lang w:val="zh-CN"/>
              </w:rPr>
              <w:fldChar w:fldCharType="separate"/>
            </w:r>
            <w:r>
              <w:rPr>
                <w:rFonts w:hint="eastAsia"/>
                <w:kern w:val="2"/>
                <w:sz w:val="22"/>
                <w:szCs w:val="22"/>
                <w:lang w:val="zh-CN"/>
              </w:rPr>
              <w:t>2.“备份投标文件”递交：</w:t>
            </w:r>
          </w:p>
          <w:p>
            <w:pPr>
              <w:pStyle w:val="17"/>
              <w:tabs>
                <w:tab w:val="left" w:pos="6930"/>
              </w:tabs>
              <w:spacing w:before="0" w:beforeAutospacing="0" w:after="0" w:afterAutospacing="0" w:line="360" w:lineRule="exact"/>
              <w:rPr>
                <w:kern w:val="2"/>
                <w:sz w:val="22"/>
                <w:szCs w:val="22"/>
                <w:lang w:val="zh-CN"/>
              </w:rPr>
            </w:pPr>
            <w:r>
              <w:rPr>
                <w:rFonts w:hint="eastAsia"/>
                <w:kern w:val="2"/>
                <w:sz w:val="22"/>
                <w:szCs w:val="22"/>
              </w:rPr>
              <w:t>1）</w:t>
            </w:r>
            <w:r>
              <w:rPr>
                <w:rFonts w:hint="eastAsia"/>
                <w:kern w:val="2"/>
                <w:sz w:val="22"/>
                <w:szCs w:val="22"/>
                <w:lang w:val="zh-CN"/>
              </w:rPr>
              <w:t>投标人在“政府采购云平台”完成“电子加密投标文件”的上传递交后，还可以（以电子邮件的形式）在投标截止时间前发送</w:t>
            </w:r>
            <w:r>
              <w:rPr>
                <w:rFonts w:hint="eastAsia"/>
                <w:b/>
                <w:bCs/>
                <w:color w:val="FF0000"/>
                <w:kern w:val="2"/>
                <w:sz w:val="22"/>
                <w:szCs w:val="22"/>
                <w:lang w:val="zh-CN"/>
              </w:rPr>
              <w:t>加密压缩文件</w:t>
            </w:r>
            <w:r>
              <w:rPr>
                <w:rFonts w:hint="eastAsia"/>
                <w:kern w:val="2"/>
                <w:sz w:val="22"/>
                <w:szCs w:val="22"/>
                <w:lang w:val="zh-CN"/>
              </w:rPr>
              <w:t>的“备份投标文件”（一份）；</w:t>
            </w:r>
          </w:p>
          <w:p>
            <w:pPr>
              <w:pStyle w:val="17"/>
              <w:tabs>
                <w:tab w:val="left" w:pos="6930"/>
              </w:tabs>
              <w:spacing w:before="0" w:beforeAutospacing="0" w:after="0" w:afterAutospacing="0" w:line="360" w:lineRule="exact"/>
              <w:rPr>
                <w:kern w:val="2"/>
                <w:sz w:val="22"/>
                <w:szCs w:val="22"/>
                <w:lang w:val="zh-CN"/>
              </w:rPr>
            </w:pPr>
            <w:r>
              <w:rPr>
                <w:rFonts w:hint="eastAsia"/>
                <w:kern w:val="2"/>
                <w:sz w:val="22"/>
                <w:szCs w:val="22"/>
              </w:rPr>
              <w:t>2）</w:t>
            </w:r>
            <w:r>
              <w:rPr>
                <w:rFonts w:hint="eastAsia"/>
                <w:kern w:val="2"/>
                <w:sz w:val="22"/>
                <w:szCs w:val="22"/>
                <w:lang w:val="zh-CN"/>
              </w:rPr>
              <w:t>“备份投标文件”以压缩文件形式加密发送至采购代理机构邮箱，压缩文件命名为：投标项目编号和投标单位简称。接到在线解密通知后</w:t>
            </w:r>
            <w:r>
              <w:rPr>
                <w:rFonts w:hint="eastAsia"/>
                <w:kern w:val="2"/>
                <w:sz w:val="22"/>
                <w:szCs w:val="22"/>
              </w:rPr>
              <w:t>30分钟</w:t>
            </w:r>
            <w:r>
              <w:rPr>
                <w:rFonts w:hint="eastAsia"/>
                <w:kern w:val="2"/>
                <w:sz w:val="22"/>
                <w:szCs w:val="22"/>
                <w:lang w:val="zh-CN"/>
              </w:rPr>
              <w:t>内发送压缩文件密码至采购代理机构邮箱（邮箱号码：</w:t>
            </w:r>
            <w:r>
              <w:rPr>
                <w:rFonts w:hint="eastAsia"/>
                <w:kern w:val="2"/>
                <w:sz w:val="22"/>
                <w:szCs w:val="22"/>
              </w:rPr>
              <w:t>61692137</w:t>
            </w:r>
            <w:r>
              <w:rPr>
                <w:rFonts w:hint="eastAsia"/>
                <w:kern w:val="2"/>
                <w:sz w:val="22"/>
                <w:szCs w:val="22"/>
                <w:lang w:val="zh-CN"/>
              </w:rPr>
              <w:t>@qq.com）。</w:t>
            </w:r>
          </w:p>
          <w:p>
            <w:pPr>
              <w:pStyle w:val="17"/>
              <w:tabs>
                <w:tab w:val="left" w:pos="6930"/>
              </w:tabs>
              <w:spacing w:before="0" w:beforeAutospacing="0" w:after="0" w:afterAutospacing="0" w:line="360" w:lineRule="exact"/>
              <w:rPr>
                <w:kern w:val="2"/>
                <w:sz w:val="22"/>
                <w:szCs w:val="22"/>
                <w:lang w:val="zh-CN"/>
              </w:rPr>
            </w:pPr>
            <w:r>
              <w:rPr>
                <w:rFonts w:hint="eastAsia"/>
                <w:kern w:val="2"/>
                <w:sz w:val="22"/>
                <w:szCs w:val="22"/>
              </w:rPr>
              <w:t>3.</w:t>
            </w:r>
            <w:r>
              <w:rPr>
                <w:rFonts w:hint="eastAsia"/>
                <w:kern w:val="2"/>
                <w:sz w:val="22"/>
                <w:szCs w:val="22"/>
                <w:lang w:val="zh-CN"/>
              </w:rPr>
              <w:t>通过“政府采购云平台”成功上传递交的“电子加密投标文件”无法按时解密，投标供应商如按规定递交了“备份投标文件”的，以“备份投标文件”为依据（由采购代理机构按“政府采购云平台”操作规范将“备份投标文件”上传至“政府采购云平台”，上传成功后，“电子加密投标文件”自动失效），否则视为投标文件撤回。</w:t>
            </w:r>
          </w:p>
          <w:p>
            <w:pPr>
              <w:pStyle w:val="17"/>
              <w:tabs>
                <w:tab w:val="left" w:pos="6930"/>
              </w:tabs>
              <w:spacing w:before="0" w:beforeAutospacing="0" w:after="0" w:afterAutospacing="0" w:line="360" w:lineRule="exact"/>
              <w:rPr>
                <w:kern w:val="2"/>
                <w:sz w:val="22"/>
                <w:szCs w:val="22"/>
              </w:rPr>
            </w:pPr>
            <w:r>
              <w:rPr>
                <w:rFonts w:hint="eastAsia"/>
                <w:kern w:val="2"/>
                <w:sz w:val="22"/>
                <w:szCs w:val="22"/>
                <w:lang w:val="zh-CN"/>
              </w:rPr>
              <w:fldChar w:fldCharType="end"/>
            </w:r>
            <w:r>
              <w:rPr>
                <w:rFonts w:hint="eastAsia"/>
                <w:kern w:val="2"/>
                <w:sz w:val="22"/>
                <w:szCs w:val="22"/>
              </w:rPr>
              <w:t>4</w:t>
            </w:r>
            <w:r>
              <w:rPr>
                <w:rFonts w:hint="eastAsia"/>
                <w:kern w:val="2"/>
                <w:sz w:val="22"/>
                <w:szCs w:val="22"/>
                <w:lang w:val="zh-CN"/>
              </w:rPr>
              <w:t>.如投标人未在投标截止时间前完成“电子加密投标文件”传输递交的，或仅提交“备份投标文件”的，其投标无效。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hint="eastAsia" w:ascii="宋体" w:hAnsi="宋体" w:cs="宋体"/>
                <w:sz w:val="24"/>
                <w:szCs w:val="24"/>
              </w:rPr>
              <w:t>5</w:t>
            </w:r>
          </w:p>
        </w:tc>
        <w:tc>
          <w:tcPr>
            <w:tcW w:w="2202" w:type="dxa"/>
            <w:tcBorders>
              <w:tl2br w:val="nil"/>
              <w:tr2bl w:val="nil"/>
            </w:tcBorders>
            <w:vAlign w:val="center"/>
          </w:tcPr>
          <w:p>
            <w:pPr>
              <w:pStyle w:val="17"/>
              <w:tabs>
                <w:tab w:val="left" w:pos="6930"/>
              </w:tabs>
              <w:spacing w:before="0" w:beforeAutospacing="0" w:after="0" w:afterAutospacing="0" w:line="360" w:lineRule="exact"/>
              <w:jc w:val="center"/>
              <w:rPr>
                <w:kern w:val="2"/>
                <w:sz w:val="21"/>
                <w:szCs w:val="21"/>
              </w:rPr>
            </w:pPr>
            <w:r>
              <w:rPr>
                <w:rFonts w:hint="eastAsia"/>
                <w:color w:val="000000"/>
                <w:sz w:val="21"/>
                <w:szCs w:val="21"/>
              </w:rPr>
              <w:t>投标文件的修改（补充）和撤回</w:t>
            </w:r>
          </w:p>
        </w:tc>
        <w:tc>
          <w:tcPr>
            <w:tcW w:w="6122" w:type="dxa"/>
            <w:gridSpan w:val="2"/>
            <w:tcBorders>
              <w:tl2br w:val="nil"/>
              <w:tr2bl w:val="nil"/>
            </w:tcBorders>
            <w:vAlign w:val="center"/>
          </w:tcPr>
          <w:p>
            <w:pPr>
              <w:pStyle w:val="17"/>
              <w:tabs>
                <w:tab w:val="left" w:pos="6930"/>
              </w:tabs>
              <w:spacing w:before="0" w:beforeAutospacing="0" w:after="0" w:afterAutospacing="0" w:line="360" w:lineRule="exact"/>
              <w:rPr>
                <w:kern w:val="2"/>
                <w:sz w:val="22"/>
                <w:szCs w:val="22"/>
                <w:lang w:val="zh-CN"/>
              </w:rPr>
            </w:pPr>
            <w:r>
              <w:rPr>
                <w:rFonts w:hint="eastAsia"/>
                <w:kern w:val="2"/>
                <w:sz w:val="22"/>
                <w:szCs w:val="22"/>
                <w:lang w:val="zh-CN"/>
              </w:rPr>
              <w:t>1.修改（补充）和撤回：</w:t>
            </w:r>
          </w:p>
          <w:p>
            <w:pPr>
              <w:pStyle w:val="17"/>
              <w:tabs>
                <w:tab w:val="left" w:pos="6930"/>
              </w:tabs>
              <w:spacing w:before="0" w:beforeAutospacing="0" w:after="0" w:afterAutospacing="0" w:line="360" w:lineRule="exact"/>
              <w:rPr>
                <w:kern w:val="2"/>
                <w:sz w:val="22"/>
                <w:szCs w:val="22"/>
                <w:lang w:val="zh-CN"/>
              </w:rPr>
            </w:pPr>
            <w:r>
              <w:rPr>
                <w:rFonts w:hint="eastAsia"/>
                <w:kern w:val="2"/>
                <w:sz w:val="22"/>
                <w:szCs w:val="22"/>
              </w:rPr>
              <w:t>1）</w:t>
            </w:r>
            <w:r>
              <w:rPr>
                <w:rFonts w:hint="eastAsia"/>
                <w:kern w:val="2"/>
                <w:sz w:val="22"/>
                <w:szCs w:val="22"/>
                <w:lang w:val="zh-CN"/>
              </w:rPr>
              <w:t>投标截止时间前可以修改（补充）或撤回“电子加密投标文件”。补充或者修改“电子加密投标文件”的，应当先行撤回原文件，补充、修改后重新传输递交。投标截止时间前未完成传输递交的，视为撤回投标文件。</w:t>
            </w:r>
          </w:p>
          <w:p>
            <w:pPr>
              <w:pStyle w:val="17"/>
              <w:tabs>
                <w:tab w:val="left" w:pos="6930"/>
              </w:tabs>
              <w:spacing w:before="0" w:beforeAutospacing="0" w:after="0" w:afterAutospacing="0" w:line="360" w:lineRule="exact"/>
              <w:rPr>
                <w:b/>
                <w:szCs w:val="21"/>
              </w:rPr>
            </w:pPr>
            <w:r>
              <w:rPr>
                <w:rFonts w:hint="eastAsia"/>
                <w:kern w:val="2"/>
                <w:sz w:val="22"/>
                <w:szCs w:val="22"/>
              </w:rPr>
              <w:t>2）</w:t>
            </w:r>
            <w:r>
              <w:rPr>
                <w:rFonts w:hint="eastAsia"/>
                <w:kern w:val="2"/>
                <w:sz w:val="22"/>
                <w:szCs w:val="22"/>
                <w:lang w:val="zh-CN"/>
              </w:rPr>
              <w:t>投标截止时间后，投标人不得修改（补充）或撤回其投标文件。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6</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投标报价</w:t>
            </w:r>
          </w:p>
        </w:tc>
        <w:tc>
          <w:tcPr>
            <w:tcW w:w="6122" w:type="dxa"/>
            <w:gridSpan w:val="2"/>
            <w:tcBorders>
              <w:tl2br w:val="nil"/>
              <w:tr2bl w:val="nil"/>
            </w:tcBorders>
            <w:vAlign w:val="center"/>
          </w:tcPr>
          <w:p>
            <w:pPr>
              <w:numPr>
                <w:ilvl w:val="0"/>
                <w:numId w:val="3"/>
              </w:numPr>
              <w:spacing w:line="360" w:lineRule="exact"/>
              <w:rPr>
                <w:rFonts w:ascii="宋体" w:cs="宋体"/>
                <w:sz w:val="22"/>
                <w:szCs w:val="22"/>
              </w:rPr>
            </w:pPr>
            <w:r>
              <w:rPr>
                <w:rFonts w:hint="eastAsia" w:ascii="宋体" w:hAnsi="宋体" w:cs="宋体"/>
                <w:sz w:val="22"/>
                <w:szCs w:val="22"/>
              </w:rPr>
              <w:t>本项目投标应以人民币报价；</w:t>
            </w:r>
          </w:p>
          <w:p>
            <w:pPr>
              <w:numPr>
                <w:ilvl w:val="0"/>
                <w:numId w:val="3"/>
              </w:numPr>
              <w:spacing w:line="360" w:lineRule="exact"/>
              <w:rPr>
                <w:rFonts w:ascii="宋体" w:cs="宋体"/>
                <w:sz w:val="22"/>
                <w:szCs w:val="22"/>
              </w:rPr>
            </w:pPr>
            <w:r>
              <w:rPr>
                <w:rFonts w:hint="eastAsia" w:ascii="宋体" w:hAnsi="宋体" w:cs="宋体"/>
                <w:sz w:val="22"/>
                <w:szCs w:val="22"/>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7</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踏勘现场</w:t>
            </w:r>
          </w:p>
        </w:tc>
        <w:tc>
          <w:tcPr>
            <w:tcW w:w="6122" w:type="dxa"/>
            <w:gridSpan w:val="2"/>
            <w:tcBorders>
              <w:tl2br w:val="nil"/>
              <w:tr2bl w:val="nil"/>
            </w:tcBorders>
            <w:vAlign w:val="center"/>
          </w:tcPr>
          <w:p>
            <w:pPr>
              <w:spacing w:line="360" w:lineRule="exact"/>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组织（详细内容）</w:t>
            </w:r>
          </w:p>
          <w:p>
            <w:pPr>
              <w:spacing w:line="360" w:lineRule="exact"/>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8</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样品</w:t>
            </w:r>
          </w:p>
        </w:tc>
        <w:tc>
          <w:tcPr>
            <w:tcW w:w="6122" w:type="dxa"/>
            <w:gridSpan w:val="2"/>
            <w:tcBorders>
              <w:tl2br w:val="nil"/>
              <w:tr2bl w:val="nil"/>
            </w:tcBorders>
            <w:vAlign w:val="center"/>
          </w:tcPr>
          <w:p>
            <w:pPr>
              <w:spacing w:line="360" w:lineRule="exact"/>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提供，具体详见招标文件，中标人提供的样品将由采购人保管、封存并作为履约验收的参考</w:t>
            </w:r>
          </w:p>
          <w:p>
            <w:pPr>
              <w:spacing w:line="360" w:lineRule="exact"/>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9</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演示</w:t>
            </w:r>
          </w:p>
        </w:tc>
        <w:tc>
          <w:tcPr>
            <w:tcW w:w="6122" w:type="dxa"/>
            <w:gridSpan w:val="2"/>
            <w:tcBorders>
              <w:tl2br w:val="nil"/>
              <w:tr2bl w:val="nil"/>
            </w:tcBorders>
            <w:vAlign w:val="center"/>
          </w:tcPr>
          <w:p>
            <w:pPr>
              <w:spacing w:line="360" w:lineRule="exact"/>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要求，具体详见招标文件</w:t>
            </w:r>
          </w:p>
          <w:p>
            <w:pPr>
              <w:spacing w:line="360" w:lineRule="exact"/>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10</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评标办法</w:t>
            </w:r>
          </w:p>
        </w:tc>
        <w:tc>
          <w:tcPr>
            <w:tcW w:w="6122" w:type="dxa"/>
            <w:gridSpan w:val="2"/>
            <w:tcBorders>
              <w:tl2br w:val="nil"/>
              <w:tr2bl w:val="nil"/>
            </w:tcBorders>
            <w:vAlign w:val="center"/>
          </w:tcPr>
          <w:p>
            <w:pPr>
              <w:spacing w:line="360" w:lineRule="exact"/>
              <w:rPr>
                <w:rFonts w:ascii="宋体" w:cs="宋体"/>
                <w:sz w:val="22"/>
                <w:szCs w:val="22"/>
              </w:rPr>
            </w:pPr>
            <w:r>
              <w:rPr>
                <w:rFonts w:hint="eastAsia" w:ascii="宋体" w:hAnsi="宋体" w:cs="宋体"/>
                <w:sz w:val="22"/>
                <w:szCs w:val="22"/>
              </w:rPr>
              <w:sym w:font="Wingdings 2" w:char="0052"/>
            </w:r>
            <w:r>
              <w:rPr>
                <w:rFonts w:ascii="宋体" w:hAnsi="宋体" w:cs="宋体"/>
                <w:sz w:val="22"/>
                <w:szCs w:val="22"/>
              </w:rPr>
              <w:t xml:space="preserve"> </w:t>
            </w:r>
            <w:r>
              <w:rPr>
                <w:rFonts w:hint="eastAsia" w:ascii="宋体" w:hAnsi="宋体" w:cs="宋体"/>
                <w:sz w:val="22"/>
                <w:szCs w:val="22"/>
              </w:rPr>
              <w:t>综合评分法</w:t>
            </w:r>
          </w:p>
          <w:p>
            <w:pPr>
              <w:spacing w:line="360" w:lineRule="exact"/>
              <w:rPr>
                <w:rFonts w:ascii="宋体" w:cs="宋体"/>
                <w:sz w:val="22"/>
                <w:szCs w:val="22"/>
              </w:rPr>
            </w:pPr>
            <w:r>
              <w:rPr>
                <w:rFonts w:hint="eastAsia" w:ascii="宋体" w:hAnsi="宋体" w:cs="宋体"/>
                <w:sz w:val="22"/>
                <w:szCs w:val="22"/>
              </w:rPr>
              <w:sym w:font="Wingdings 2" w:char="00A3"/>
            </w:r>
            <w:r>
              <w:rPr>
                <w:rFonts w:ascii="宋体" w:hAnsi="宋体" w:cs="宋体"/>
                <w:sz w:val="22"/>
                <w:szCs w:val="22"/>
              </w:rPr>
              <w:t xml:space="preserve"> </w:t>
            </w:r>
            <w:r>
              <w:rPr>
                <w:rFonts w:hint="eastAsia" w:ascii="宋体" w:hAnsi="宋体" w:cs="宋体"/>
                <w:sz w:val="22"/>
                <w:szCs w:val="22"/>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11</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是否进口</w:t>
            </w:r>
          </w:p>
        </w:tc>
        <w:tc>
          <w:tcPr>
            <w:tcW w:w="6122" w:type="dxa"/>
            <w:gridSpan w:val="2"/>
            <w:tcBorders>
              <w:tl2br w:val="nil"/>
              <w:tr2bl w:val="nil"/>
            </w:tcBorders>
            <w:vAlign w:val="center"/>
          </w:tcPr>
          <w:p>
            <w:pPr>
              <w:spacing w:line="360" w:lineRule="exact"/>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允许进口</w:t>
            </w:r>
          </w:p>
          <w:p>
            <w:pPr>
              <w:spacing w:line="360" w:lineRule="exact"/>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不允许进口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12</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节能产品</w:t>
            </w:r>
          </w:p>
        </w:tc>
        <w:tc>
          <w:tcPr>
            <w:tcW w:w="2551" w:type="dxa"/>
            <w:tcBorders>
              <w:right w:val="single" w:color="000000" w:sz="4" w:space="0"/>
              <w:tl2br w:val="nil"/>
              <w:tr2bl w:val="nil"/>
            </w:tcBorders>
            <w:vAlign w:val="center"/>
          </w:tcPr>
          <w:p>
            <w:pPr>
              <w:spacing w:line="360" w:lineRule="exact"/>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强制采购节能产品</w:t>
            </w:r>
          </w:p>
          <w:p>
            <w:pPr>
              <w:spacing w:line="360" w:lineRule="exact"/>
              <w:rPr>
                <w:rFonts w:ascii="宋体" w:cs="宋体"/>
                <w:sz w:val="22"/>
                <w:szCs w:val="22"/>
              </w:rPr>
            </w:pPr>
            <w:r>
              <w:rPr>
                <w:rFonts w:hint="eastAsia" w:ascii="宋体" w:hAnsi="宋体" w:cs="宋体"/>
                <w:sz w:val="22"/>
                <w:szCs w:val="22"/>
              </w:rPr>
              <w:sym w:font="Wingdings 2" w:char="00A3"/>
            </w:r>
            <w:r>
              <w:rPr>
                <w:rFonts w:ascii="宋体" w:hAnsi="宋体" w:cs="宋体"/>
                <w:sz w:val="22"/>
                <w:szCs w:val="22"/>
              </w:rPr>
              <w:t xml:space="preserve"> </w:t>
            </w:r>
            <w:r>
              <w:rPr>
                <w:rFonts w:hint="eastAsia" w:ascii="宋体" w:hAnsi="宋体" w:cs="宋体"/>
                <w:sz w:val="22"/>
                <w:szCs w:val="22"/>
              </w:rPr>
              <w:t>优先采购节能产品</w:t>
            </w:r>
          </w:p>
          <w:p>
            <w:pPr>
              <w:spacing w:line="360" w:lineRule="exact"/>
              <w:rPr>
                <w:rFonts w:ascii="宋体" w:cs="宋体"/>
                <w:sz w:val="22"/>
                <w:szCs w:val="22"/>
              </w:rPr>
            </w:pPr>
            <w:r>
              <w:rPr>
                <w:rFonts w:hint="eastAsia" w:ascii="宋体" w:hAnsi="宋体" w:cs="宋体"/>
                <w:sz w:val="22"/>
                <w:szCs w:val="22"/>
              </w:rPr>
              <w:sym w:font="Wingdings 2" w:char="0052"/>
            </w:r>
            <w:r>
              <w:rPr>
                <w:rFonts w:ascii="宋体" w:hAnsi="宋体" w:cs="宋体"/>
                <w:sz w:val="22"/>
                <w:szCs w:val="22"/>
              </w:rPr>
              <w:t xml:space="preserve"> </w:t>
            </w:r>
            <w:r>
              <w:rPr>
                <w:rFonts w:hint="eastAsia" w:ascii="宋体" w:hAnsi="宋体" w:cs="宋体"/>
                <w:sz w:val="22"/>
                <w:szCs w:val="22"/>
              </w:rPr>
              <w:t>不适用（服务类项目）</w:t>
            </w:r>
          </w:p>
        </w:tc>
        <w:tc>
          <w:tcPr>
            <w:tcW w:w="3571" w:type="dxa"/>
            <w:vMerge w:val="restart"/>
            <w:tcBorders>
              <w:left w:val="single" w:color="000000" w:sz="4" w:space="0"/>
              <w:tl2br w:val="nil"/>
              <w:tr2bl w:val="nil"/>
            </w:tcBorders>
            <w:vAlign w:val="center"/>
          </w:tcPr>
          <w:p>
            <w:pPr>
              <w:spacing w:line="360" w:lineRule="exact"/>
              <w:rPr>
                <w:rFonts w:ascii="宋体" w:hAnsi="宋体" w:cs="宋体"/>
                <w:sz w:val="24"/>
                <w:szCs w:val="24"/>
              </w:rPr>
            </w:pPr>
            <w:r>
              <w:rPr>
                <w:rFonts w:hint="eastAsia" w:ascii="宋体" w:hAnsi="宋体" w:cs="宋体"/>
                <w:sz w:val="22"/>
                <w:szCs w:val="22"/>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13</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环境标志产品</w:t>
            </w:r>
          </w:p>
        </w:tc>
        <w:tc>
          <w:tcPr>
            <w:tcW w:w="2551" w:type="dxa"/>
            <w:tcBorders>
              <w:right w:val="single" w:color="000000" w:sz="4" w:space="0"/>
              <w:tl2br w:val="nil"/>
              <w:tr2bl w:val="nil"/>
            </w:tcBorders>
            <w:vAlign w:val="center"/>
          </w:tcPr>
          <w:p>
            <w:pPr>
              <w:spacing w:line="360" w:lineRule="exact"/>
              <w:rPr>
                <w:rFonts w:ascii="宋体" w:cs="宋体"/>
                <w:sz w:val="22"/>
                <w:szCs w:val="22"/>
              </w:rPr>
            </w:pPr>
            <w:r>
              <w:rPr>
                <w:rFonts w:hint="eastAsia" w:ascii="宋体" w:hAnsi="宋体" w:cs="宋体"/>
                <w:sz w:val="22"/>
                <w:szCs w:val="22"/>
              </w:rPr>
              <w:sym w:font="Wingdings 2" w:char="00A3"/>
            </w:r>
            <w:r>
              <w:rPr>
                <w:rFonts w:ascii="宋体" w:hAnsi="宋体" w:cs="宋体"/>
                <w:sz w:val="22"/>
                <w:szCs w:val="22"/>
              </w:rPr>
              <w:t xml:space="preserve"> </w:t>
            </w:r>
            <w:r>
              <w:rPr>
                <w:rFonts w:hint="eastAsia" w:ascii="宋体" w:hAnsi="宋体" w:cs="宋体"/>
                <w:sz w:val="22"/>
                <w:szCs w:val="22"/>
              </w:rPr>
              <w:t>优先采购环境标志产品</w:t>
            </w:r>
          </w:p>
          <w:p>
            <w:pPr>
              <w:spacing w:line="360" w:lineRule="exact"/>
              <w:rPr>
                <w:rFonts w:ascii="宋体" w:cs="宋体"/>
                <w:sz w:val="22"/>
                <w:szCs w:val="22"/>
              </w:rPr>
            </w:pPr>
            <w:r>
              <w:rPr>
                <w:rFonts w:hint="eastAsia" w:ascii="宋体" w:hAnsi="宋体" w:cs="宋体"/>
                <w:sz w:val="22"/>
                <w:szCs w:val="22"/>
              </w:rPr>
              <w:sym w:font="Wingdings 2" w:char="0052"/>
            </w:r>
            <w:r>
              <w:rPr>
                <w:rFonts w:ascii="宋体" w:hAnsi="宋体" w:cs="宋体"/>
                <w:sz w:val="22"/>
                <w:szCs w:val="22"/>
              </w:rPr>
              <w:t xml:space="preserve"> </w:t>
            </w:r>
            <w:r>
              <w:rPr>
                <w:rFonts w:hint="eastAsia" w:ascii="宋体" w:hAnsi="宋体" w:cs="宋体"/>
                <w:sz w:val="22"/>
                <w:szCs w:val="22"/>
              </w:rPr>
              <w:t>不适用（服务类项目）</w:t>
            </w:r>
          </w:p>
        </w:tc>
        <w:tc>
          <w:tcPr>
            <w:tcW w:w="3571" w:type="dxa"/>
            <w:vMerge w:val="continue"/>
            <w:tcBorders>
              <w:left w:val="single" w:color="000000" w:sz="4" w:space="0"/>
              <w:tl2br w:val="nil"/>
              <w:tr2bl w:val="nil"/>
            </w:tcBorders>
            <w:vAlign w:val="center"/>
          </w:tcPr>
          <w:p>
            <w:pPr>
              <w:spacing w:line="3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14</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促进中小企业发展</w:t>
            </w:r>
          </w:p>
        </w:tc>
        <w:tc>
          <w:tcPr>
            <w:tcW w:w="6122" w:type="dxa"/>
            <w:gridSpan w:val="2"/>
            <w:tcBorders>
              <w:tl2br w:val="nil"/>
              <w:tr2bl w:val="nil"/>
            </w:tcBorders>
            <w:vAlign w:val="center"/>
          </w:tcPr>
          <w:p>
            <w:pPr>
              <w:spacing w:line="360" w:lineRule="exact"/>
              <w:rPr>
                <w:rFonts w:ascii="宋体" w:cs="宋体"/>
                <w:sz w:val="22"/>
                <w:szCs w:val="22"/>
              </w:rPr>
            </w:pPr>
            <w:r>
              <w:rPr>
                <w:rFonts w:hint="eastAsia" w:ascii="宋体" w:hAnsi="宋体" w:cs="宋体"/>
                <w:sz w:val="22"/>
                <w:szCs w:val="22"/>
              </w:rPr>
              <w:t>本项目执行促进中小企业发展政策，监狱企业、残疾人福利性单位视同中型、小型、微型企业。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15</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合同签订</w:t>
            </w:r>
          </w:p>
        </w:tc>
        <w:tc>
          <w:tcPr>
            <w:tcW w:w="6122" w:type="dxa"/>
            <w:gridSpan w:val="2"/>
            <w:tcBorders>
              <w:tl2br w:val="nil"/>
              <w:tr2bl w:val="nil"/>
            </w:tcBorders>
            <w:vAlign w:val="center"/>
          </w:tcPr>
          <w:p>
            <w:pPr>
              <w:rPr>
                <w:rFonts w:ascii="宋体" w:hAnsi="宋体" w:cs="宋体"/>
                <w:sz w:val="22"/>
                <w:szCs w:val="22"/>
              </w:rPr>
            </w:pPr>
            <w:r>
              <w:rPr>
                <w:rFonts w:hint="eastAsia" w:ascii="宋体" w:hAnsi="宋体" w:cs="宋体"/>
                <w:sz w:val="22"/>
                <w:szCs w:val="22"/>
              </w:rPr>
              <w:t>采购人与中标人应当在《中标通知书》发出之日起30日内签订政府采购合同。同时，采购代理机构对合同内容进行审查，如发现与采购结果和投标承诺内容不一致的，应予以纠正。中标人拖延、拒签合同的</w:t>
            </w:r>
            <w:r>
              <w:rPr>
                <w:rFonts w:hint="eastAsia" w:ascii="宋体" w:hAnsi="宋体" w:cs="宋体"/>
                <w:sz w:val="22"/>
                <w:szCs w:val="22"/>
                <w:lang w:eastAsia="zh-CN"/>
              </w:rPr>
              <w:t>，</w:t>
            </w:r>
            <w:r>
              <w:rPr>
                <w:rFonts w:hint="eastAsia" w:ascii="宋体" w:hAnsi="宋体" w:cs="宋体"/>
                <w:sz w:val="22"/>
                <w:szCs w:val="22"/>
              </w:rPr>
              <w:t>将被取消中标资格。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16</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供应商注册事项</w:t>
            </w:r>
          </w:p>
        </w:tc>
        <w:tc>
          <w:tcPr>
            <w:tcW w:w="6122" w:type="dxa"/>
            <w:gridSpan w:val="2"/>
            <w:tcBorders>
              <w:tl2br w:val="nil"/>
              <w:tr2bl w:val="nil"/>
            </w:tcBorders>
            <w:vAlign w:val="center"/>
          </w:tcPr>
          <w:p>
            <w:pPr>
              <w:pStyle w:val="12"/>
              <w:spacing w:line="360" w:lineRule="exact"/>
              <w:ind w:left="0" w:leftChars="0"/>
              <w:rPr>
                <w:rFonts w:ascii="宋体" w:hAnsi="宋体" w:eastAsia="宋体" w:cs="宋体"/>
                <w:sz w:val="22"/>
                <w:szCs w:val="22"/>
              </w:rPr>
            </w:pPr>
            <w:r>
              <w:rPr>
                <w:rFonts w:hint="eastAsia" w:ascii="宋体" w:hAnsi="宋体" w:eastAsia="宋体" w:cs="宋体"/>
                <w:sz w:val="22"/>
                <w:szCs w:val="22"/>
              </w:rPr>
              <w:t>根据《浙江省政府采购供应商注册及诚信管理暂行办法》（浙财采监字〔2009〕28号），供应商中标后必须注册成为浙江政府采购网（http://www.zjzfcg.gov.cn/）的正式供应商，否则可以不与中标人签订合同，如未能按时签订合同，将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17</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履约保证金</w:t>
            </w:r>
          </w:p>
        </w:tc>
        <w:tc>
          <w:tcPr>
            <w:tcW w:w="6122" w:type="dxa"/>
            <w:gridSpan w:val="2"/>
            <w:tcBorders>
              <w:tl2br w:val="nil"/>
              <w:tr2bl w:val="nil"/>
            </w:tcBorders>
            <w:vAlign w:val="center"/>
          </w:tcPr>
          <w:p>
            <w:pPr>
              <w:pStyle w:val="12"/>
              <w:spacing w:line="360" w:lineRule="exact"/>
              <w:ind w:left="0" w:leftChars="0"/>
              <w:rPr>
                <w:rFonts w:ascii="宋体" w:hAnsi="宋体" w:eastAsia="宋体" w:cs="宋体"/>
                <w:sz w:val="22"/>
                <w:szCs w:val="22"/>
              </w:rPr>
            </w:pPr>
            <w:r>
              <w:rPr>
                <w:rFonts w:hint="eastAsia" w:ascii="宋体" w:hAnsi="宋体" w:eastAsia="宋体" w:cs="宋体"/>
                <w:sz w:val="22"/>
                <w:szCs w:val="22"/>
              </w:rPr>
              <w:t>1.金额：</w:t>
            </w:r>
            <w:r>
              <w:rPr>
                <w:rFonts w:hint="eastAsia" w:ascii="宋体" w:hAnsi="宋体" w:eastAsia="宋体" w:cs="宋体"/>
                <w:sz w:val="22"/>
                <w:szCs w:val="22"/>
                <w:lang w:eastAsia="zh-CN"/>
              </w:rPr>
              <w:t>签约合同价</w:t>
            </w:r>
            <w:r>
              <w:rPr>
                <w:rFonts w:hint="eastAsia" w:ascii="宋体" w:hAnsi="宋体" w:eastAsia="宋体" w:cs="宋体"/>
                <w:sz w:val="22"/>
                <w:szCs w:val="22"/>
              </w:rPr>
              <w:t>的</w:t>
            </w:r>
            <w:r>
              <w:rPr>
                <w:rFonts w:hint="eastAsia" w:ascii="宋体" w:hAnsi="宋体" w:eastAsia="宋体" w:cs="宋体"/>
                <w:sz w:val="22"/>
                <w:szCs w:val="22"/>
                <w:lang w:val="en-US" w:eastAsia="zh-CN"/>
              </w:rPr>
              <w:t>1%</w:t>
            </w:r>
            <w:r>
              <w:rPr>
                <w:rFonts w:hint="eastAsia" w:ascii="宋体" w:hAnsi="宋体" w:eastAsia="宋体" w:cs="宋体"/>
                <w:sz w:val="22"/>
                <w:szCs w:val="22"/>
              </w:rPr>
              <w:t>；</w:t>
            </w:r>
          </w:p>
          <w:p>
            <w:pPr>
              <w:pStyle w:val="12"/>
              <w:spacing w:line="360" w:lineRule="exact"/>
              <w:ind w:left="0" w:leftChars="0"/>
              <w:rPr>
                <w:rFonts w:ascii="宋体" w:hAnsi="宋体" w:eastAsia="宋体" w:cs="宋体"/>
                <w:sz w:val="22"/>
                <w:szCs w:val="22"/>
              </w:rPr>
            </w:pPr>
            <w:r>
              <w:rPr>
                <w:rFonts w:hint="eastAsia" w:ascii="宋体" w:hAnsi="宋体" w:eastAsia="宋体" w:cs="宋体"/>
                <w:sz w:val="22"/>
                <w:szCs w:val="22"/>
              </w:rPr>
              <w:t>2.收取方式：网银、电汇、转账支付等方式；</w:t>
            </w:r>
          </w:p>
          <w:p>
            <w:pPr>
              <w:pStyle w:val="12"/>
              <w:spacing w:line="360" w:lineRule="exact"/>
              <w:ind w:left="0" w:leftChars="0"/>
              <w:rPr>
                <w:rFonts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eastAsia="zh-CN"/>
              </w:rPr>
              <w:t>履约保证金的退还：详见合同条款</w:t>
            </w:r>
            <w:r>
              <w:rPr>
                <w:rFonts w:hint="eastAsia"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18</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代理服务费</w:t>
            </w:r>
          </w:p>
        </w:tc>
        <w:tc>
          <w:tcPr>
            <w:tcW w:w="6122" w:type="dxa"/>
            <w:gridSpan w:val="2"/>
            <w:tcBorders>
              <w:tl2br w:val="nil"/>
              <w:tr2bl w:val="nil"/>
            </w:tcBorders>
            <w:vAlign w:val="center"/>
          </w:tcPr>
          <w:p>
            <w:pPr>
              <w:rPr>
                <w:rFonts w:ascii="宋体" w:hAnsi="宋体" w:cs="宋体"/>
                <w:sz w:val="22"/>
                <w:szCs w:val="22"/>
              </w:rPr>
            </w:pPr>
            <w:r>
              <w:rPr>
                <w:rFonts w:hint="eastAsia" w:ascii="宋体" w:hAnsi="宋体" w:cs="宋体"/>
                <w:sz w:val="22"/>
                <w:szCs w:val="22"/>
              </w:rPr>
              <w:t>1.收取方式：本项目采购代理服务费</w:t>
            </w:r>
            <w:r>
              <w:rPr>
                <w:rFonts w:hint="eastAsia" w:ascii="宋体" w:hAnsi="宋体" w:cs="宋体"/>
                <w:sz w:val="22"/>
                <w:szCs w:val="22"/>
                <w:lang w:eastAsia="zh-CN"/>
              </w:rPr>
              <w:t>参照发改价格〔2011〕534号文</w:t>
            </w:r>
            <w:r>
              <w:rPr>
                <w:rFonts w:hint="eastAsia" w:ascii="宋体" w:hAnsi="宋体" w:cs="宋体"/>
                <w:sz w:val="22"/>
                <w:szCs w:val="22"/>
              </w:rPr>
              <w:t>的收费标准（见附表）计取；采购代理服务费须包含在总报价中，由采购代理机构在签发中标通知书时向中标单位收取；本项目按服务招标类型</w:t>
            </w:r>
            <w:r>
              <w:rPr>
                <w:rFonts w:hint="eastAsia" w:ascii="宋体" w:hAnsi="宋体" w:cs="宋体"/>
                <w:sz w:val="22"/>
                <w:szCs w:val="22"/>
                <w:lang w:eastAsia="zh-CN"/>
              </w:rPr>
              <w:t>的</w:t>
            </w:r>
            <w:r>
              <w:rPr>
                <w:rFonts w:hint="eastAsia" w:ascii="宋体" w:hAnsi="宋体" w:cs="宋体"/>
                <w:sz w:val="22"/>
                <w:szCs w:val="22"/>
                <w:lang w:val="en-US" w:eastAsia="zh-CN"/>
              </w:rPr>
              <w:t>80%</w:t>
            </w:r>
            <w:r>
              <w:rPr>
                <w:rFonts w:hint="eastAsia" w:ascii="宋体" w:hAnsi="宋体" w:cs="宋体"/>
                <w:sz w:val="22"/>
                <w:szCs w:val="22"/>
              </w:rPr>
              <w:t>收费，不足</w:t>
            </w:r>
            <w:r>
              <w:rPr>
                <w:rFonts w:hint="eastAsia" w:ascii="宋体" w:hAnsi="宋体" w:cs="宋体"/>
                <w:sz w:val="22"/>
                <w:szCs w:val="22"/>
                <w:lang w:eastAsia="zh-CN"/>
              </w:rPr>
              <w:t>捌仟元按捌仟元计取</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19</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现场组织实施</w:t>
            </w:r>
          </w:p>
        </w:tc>
        <w:tc>
          <w:tcPr>
            <w:tcW w:w="6122" w:type="dxa"/>
            <w:gridSpan w:val="2"/>
            <w:tcBorders>
              <w:tl2br w:val="nil"/>
              <w:tr2bl w:val="nil"/>
            </w:tcBorders>
            <w:vAlign w:val="center"/>
          </w:tcPr>
          <w:p>
            <w:pPr>
              <w:pStyle w:val="12"/>
              <w:spacing w:line="360" w:lineRule="exact"/>
              <w:ind w:left="0" w:leftChars="0"/>
              <w:rPr>
                <w:rFonts w:ascii="宋体" w:hAnsi="宋体" w:eastAsia="宋体" w:cs="宋体"/>
                <w:sz w:val="22"/>
                <w:szCs w:val="22"/>
              </w:rPr>
            </w:pPr>
            <w:r>
              <w:rPr>
                <w:rFonts w:hint="eastAsia" w:ascii="宋体" w:hAnsi="宋体" w:eastAsia="宋体" w:cs="宋体"/>
                <w:sz w:val="22"/>
                <w:szCs w:val="22"/>
              </w:rPr>
              <w:t>根据浙江省财政厅文件浙财采监〔2015〕13号文件《关于印发浙江省政府采购活动现场组织管理办法的通知》实施。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20</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解释权</w:t>
            </w:r>
          </w:p>
        </w:tc>
        <w:tc>
          <w:tcPr>
            <w:tcW w:w="6122" w:type="dxa"/>
            <w:gridSpan w:val="2"/>
            <w:tcBorders>
              <w:tl2br w:val="nil"/>
              <w:tr2bl w:val="nil"/>
            </w:tcBorders>
            <w:vAlign w:val="center"/>
          </w:tcPr>
          <w:p>
            <w:pPr>
              <w:pStyle w:val="12"/>
              <w:spacing w:line="360" w:lineRule="exact"/>
              <w:ind w:left="0" w:leftChars="0"/>
              <w:jc w:val="left"/>
              <w:rPr>
                <w:rFonts w:ascii="宋体" w:hAnsi="宋体" w:eastAsia="宋体" w:cs="宋体"/>
                <w:sz w:val="22"/>
                <w:szCs w:val="22"/>
              </w:rPr>
            </w:pPr>
            <w:r>
              <w:rPr>
                <w:rFonts w:hint="eastAsia" w:ascii="宋体" w:hAnsi="宋体" w:eastAsia="宋体" w:cs="宋体"/>
                <w:sz w:val="22"/>
                <w:szCs w:val="22"/>
              </w:rPr>
              <w:t>本招标文件的解释权属于采购人和采购代理机构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21</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其他说明</w:t>
            </w:r>
          </w:p>
        </w:tc>
        <w:tc>
          <w:tcPr>
            <w:tcW w:w="6122" w:type="dxa"/>
            <w:gridSpan w:val="2"/>
            <w:tcBorders>
              <w:tl2br w:val="nil"/>
              <w:tr2bl w:val="nil"/>
            </w:tcBorders>
            <w:vAlign w:val="center"/>
          </w:tcPr>
          <w:p>
            <w:pPr>
              <w:pStyle w:val="12"/>
              <w:spacing w:line="360" w:lineRule="exact"/>
              <w:ind w:left="0" w:leftChars="0"/>
              <w:jc w:val="left"/>
              <w:rPr>
                <w:rFonts w:ascii="宋体" w:hAnsi="宋体" w:eastAsia="宋体" w:cs="宋体"/>
                <w:sz w:val="22"/>
                <w:szCs w:val="22"/>
              </w:rPr>
            </w:pPr>
            <w:r>
              <w:rPr>
                <w:rFonts w:hint="eastAsia" w:ascii="宋体" w:hAnsi="宋体" w:eastAsia="宋体" w:cs="宋体"/>
                <w:sz w:val="22"/>
                <w:szCs w:val="22"/>
              </w:rPr>
              <w:t>根据《浙江省财政厅关于规范政府采购供应商资格设定及资格审查的通知》浙财采监〔2013〕24号文件，金融、保险、通讯等特定行业的全国性企业所设立的区域性分支机构投标时应提供该单位负责人签署的相关文件材料，与其他法人单位法定代表人签署的文件材料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jc w:val="center"/>
        </w:trPr>
        <w:tc>
          <w:tcPr>
            <w:tcW w:w="715" w:type="dxa"/>
            <w:tcBorders>
              <w:tl2br w:val="nil"/>
              <w:tr2bl w:val="nil"/>
            </w:tcBorders>
            <w:vAlign w:val="center"/>
          </w:tcPr>
          <w:p>
            <w:pPr>
              <w:spacing w:line="360" w:lineRule="exact"/>
              <w:jc w:val="center"/>
              <w:rPr>
                <w:rFonts w:ascii="宋体" w:hAnsi="宋体" w:cs="宋体"/>
                <w:sz w:val="24"/>
                <w:szCs w:val="24"/>
              </w:rPr>
            </w:pPr>
            <w:r>
              <w:rPr>
                <w:rFonts w:ascii="宋体" w:hAnsi="宋体" w:cs="宋体"/>
                <w:sz w:val="24"/>
                <w:szCs w:val="24"/>
              </w:rPr>
              <w:t>22</w:t>
            </w:r>
          </w:p>
        </w:tc>
        <w:tc>
          <w:tcPr>
            <w:tcW w:w="2202" w:type="dxa"/>
            <w:tcBorders>
              <w:tl2br w:val="nil"/>
              <w:tr2bl w:val="nil"/>
            </w:tcBorders>
            <w:vAlign w:val="center"/>
          </w:tcPr>
          <w:p>
            <w:pPr>
              <w:spacing w:line="360" w:lineRule="exact"/>
              <w:jc w:val="center"/>
              <w:rPr>
                <w:rFonts w:ascii="宋体" w:cs="宋体"/>
                <w:sz w:val="24"/>
                <w:szCs w:val="24"/>
              </w:rPr>
            </w:pPr>
            <w:r>
              <w:rPr>
                <w:rFonts w:hint="eastAsia" w:ascii="宋体" w:hAnsi="宋体" w:cs="宋体"/>
                <w:sz w:val="24"/>
                <w:szCs w:val="24"/>
              </w:rPr>
              <w:t>注意事项</w:t>
            </w:r>
          </w:p>
        </w:tc>
        <w:tc>
          <w:tcPr>
            <w:tcW w:w="6122" w:type="dxa"/>
            <w:gridSpan w:val="2"/>
            <w:tcBorders>
              <w:tl2br w:val="nil"/>
              <w:tr2bl w:val="nil"/>
            </w:tcBorders>
            <w:vAlign w:val="center"/>
          </w:tcPr>
          <w:p>
            <w:pPr>
              <w:pStyle w:val="12"/>
              <w:spacing w:line="360" w:lineRule="exact"/>
              <w:ind w:left="0" w:leftChars="0"/>
              <w:jc w:val="left"/>
              <w:rPr>
                <w:rFonts w:ascii="宋体" w:hAnsi="宋体" w:eastAsia="宋体" w:cs="宋体"/>
                <w:sz w:val="22"/>
                <w:szCs w:val="22"/>
              </w:rPr>
            </w:pPr>
            <w:r>
              <w:rPr>
                <w:rFonts w:hint="eastAsia" w:ascii="宋体" w:hAnsi="宋体" w:eastAsia="宋体" w:cs="宋体"/>
                <w:sz w:val="22"/>
                <w:szCs w:val="22"/>
              </w:rPr>
              <w:t>投标人应严格按照招标文件及补充文件的规定和要求编制投标文件。在编制投标文件过程中</w:t>
            </w:r>
            <w:r>
              <w:rPr>
                <w:rFonts w:hint="eastAsia" w:ascii="宋体" w:hAnsi="宋体" w:eastAsia="宋体" w:cs="宋体"/>
                <w:sz w:val="22"/>
                <w:szCs w:val="22"/>
                <w:lang w:eastAsia="zh-CN"/>
              </w:rPr>
              <w:t>，</w:t>
            </w:r>
            <w:r>
              <w:rPr>
                <w:rFonts w:hint="eastAsia" w:ascii="宋体" w:hAnsi="宋体" w:eastAsia="宋体" w:cs="宋体"/>
                <w:sz w:val="22"/>
                <w:szCs w:val="22"/>
              </w:rPr>
              <w:t>应严格遵循实事求是、诚信投标的原则</w:t>
            </w:r>
            <w:r>
              <w:rPr>
                <w:rFonts w:hint="eastAsia" w:ascii="宋体" w:hAnsi="宋体" w:eastAsia="宋体" w:cs="宋体"/>
                <w:sz w:val="22"/>
                <w:szCs w:val="22"/>
                <w:lang w:eastAsia="zh-CN"/>
              </w:rPr>
              <w:t>，</w:t>
            </w:r>
            <w:r>
              <w:rPr>
                <w:rFonts w:hint="eastAsia" w:ascii="宋体" w:hAnsi="宋体" w:eastAsia="宋体" w:cs="宋体"/>
                <w:sz w:val="22"/>
                <w:szCs w:val="22"/>
              </w:rPr>
              <w:t>如有偏离</w:t>
            </w:r>
            <w:r>
              <w:rPr>
                <w:rFonts w:hint="eastAsia" w:ascii="宋体" w:hAnsi="宋体" w:eastAsia="宋体" w:cs="宋体"/>
                <w:sz w:val="22"/>
                <w:szCs w:val="22"/>
                <w:lang w:eastAsia="zh-CN"/>
              </w:rPr>
              <w:t>，</w:t>
            </w:r>
            <w:r>
              <w:rPr>
                <w:rFonts w:hint="eastAsia" w:ascii="宋体" w:hAnsi="宋体" w:eastAsia="宋体" w:cs="宋体"/>
                <w:sz w:val="22"/>
                <w:szCs w:val="22"/>
              </w:rPr>
              <w:t>应如实填写响应偏离。</w:t>
            </w:r>
          </w:p>
          <w:p>
            <w:pPr>
              <w:pStyle w:val="12"/>
              <w:spacing w:line="360" w:lineRule="exact"/>
              <w:ind w:left="0" w:leftChars="0"/>
              <w:jc w:val="left"/>
              <w:rPr>
                <w:rFonts w:ascii="宋体" w:hAnsi="宋体" w:eastAsia="宋体" w:cs="宋体"/>
                <w:sz w:val="22"/>
                <w:szCs w:val="22"/>
              </w:rPr>
            </w:pPr>
            <w:r>
              <w:rPr>
                <w:rFonts w:hint="eastAsia" w:ascii="宋体" w:hAnsi="宋体" w:eastAsia="宋体" w:cs="宋体"/>
                <w:sz w:val="22"/>
                <w:szCs w:val="22"/>
              </w:rPr>
              <w:t>如果发现本招标文件中存在歧视性不公正条款或违法违规等内容时</w:t>
            </w:r>
            <w:r>
              <w:rPr>
                <w:rFonts w:hint="eastAsia" w:ascii="宋体" w:hAnsi="宋体" w:eastAsia="宋体" w:cs="宋体"/>
                <w:sz w:val="22"/>
                <w:szCs w:val="22"/>
                <w:lang w:eastAsia="zh-CN"/>
              </w:rPr>
              <w:t>，</w:t>
            </w:r>
            <w:r>
              <w:rPr>
                <w:rFonts w:hint="eastAsia" w:ascii="宋体" w:hAnsi="宋体" w:eastAsia="宋体" w:cs="宋体"/>
                <w:sz w:val="22"/>
                <w:szCs w:val="22"/>
              </w:rPr>
              <w:t>请投标人在获取招标文件后</w:t>
            </w:r>
            <w:r>
              <w:rPr>
                <w:rFonts w:hint="eastAsia" w:ascii="宋体" w:hAnsi="宋体" w:eastAsia="宋体" w:cs="宋体"/>
                <w:sz w:val="22"/>
                <w:szCs w:val="22"/>
                <w:lang w:eastAsia="zh-CN"/>
              </w:rPr>
              <w:t>，</w:t>
            </w:r>
            <w:r>
              <w:rPr>
                <w:rFonts w:hint="eastAsia" w:ascii="宋体" w:hAnsi="宋体" w:eastAsia="宋体" w:cs="宋体"/>
                <w:sz w:val="22"/>
                <w:szCs w:val="22"/>
              </w:rPr>
              <w:t>在招标文件的质疑有效期内及时书面提出。</w:t>
            </w:r>
          </w:p>
          <w:p>
            <w:pPr>
              <w:pStyle w:val="12"/>
              <w:spacing w:line="360" w:lineRule="exact"/>
              <w:ind w:left="0" w:leftChars="0"/>
              <w:jc w:val="left"/>
              <w:rPr>
                <w:rFonts w:ascii="宋体" w:hAnsi="宋体" w:eastAsia="宋体" w:cs="宋体"/>
                <w:sz w:val="22"/>
                <w:szCs w:val="22"/>
              </w:rPr>
            </w:pPr>
            <w:r>
              <w:rPr>
                <w:rFonts w:hint="eastAsia" w:ascii="宋体" w:hAnsi="宋体" w:eastAsia="宋体" w:cs="宋体"/>
                <w:sz w:val="22"/>
                <w:szCs w:val="22"/>
              </w:rPr>
              <w:t>采购结果公告期间</w:t>
            </w:r>
            <w:r>
              <w:rPr>
                <w:rFonts w:hint="eastAsia" w:ascii="宋体" w:hAnsi="宋体" w:eastAsia="宋体" w:cs="宋体"/>
                <w:sz w:val="22"/>
                <w:szCs w:val="22"/>
                <w:lang w:eastAsia="zh-CN"/>
              </w:rPr>
              <w:t>，</w:t>
            </w:r>
            <w:r>
              <w:rPr>
                <w:rFonts w:hint="eastAsia" w:ascii="宋体" w:hAnsi="宋体" w:eastAsia="宋体" w:cs="宋体"/>
                <w:sz w:val="22"/>
                <w:szCs w:val="22"/>
              </w:rPr>
              <w:t>投标人不得通过非正当途径获取法律法规规定评标委员会</w:t>
            </w:r>
            <w:r>
              <w:rPr>
                <w:rFonts w:hint="eastAsia" w:ascii="宋体" w:hAnsi="宋体" w:eastAsia="宋体" w:cs="宋体"/>
                <w:sz w:val="22"/>
                <w:szCs w:val="22"/>
                <w:lang w:eastAsia="zh-CN"/>
              </w:rPr>
              <w:t>（</w:t>
            </w:r>
            <w:r>
              <w:rPr>
                <w:rFonts w:hint="eastAsia" w:ascii="宋体" w:hAnsi="宋体" w:eastAsia="宋体" w:cs="宋体"/>
                <w:sz w:val="22"/>
                <w:szCs w:val="22"/>
              </w:rPr>
              <w:t>包括其他相关人员</w:t>
            </w:r>
            <w:r>
              <w:rPr>
                <w:rFonts w:hint="eastAsia" w:ascii="宋体" w:hAnsi="宋体" w:eastAsia="宋体" w:cs="宋体"/>
                <w:sz w:val="22"/>
                <w:szCs w:val="22"/>
                <w:lang w:eastAsia="zh-CN"/>
              </w:rPr>
              <w:t>）</w:t>
            </w:r>
            <w:r>
              <w:rPr>
                <w:rFonts w:hint="eastAsia" w:ascii="宋体" w:hAnsi="宋体" w:eastAsia="宋体" w:cs="宋体"/>
                <w:sz w:val="22"/>
                <w:szCs w:val="22"/>
              </w:rPr>
              <w:t>应当保密的相关内容。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15" w:type="dxa"/>
            <w:tcBorders>
              <w:tl2br w:val="nil"/>
              <w:tr2bl w:val="nil"/>
            </w:tcBorders>
            <w:vAlign w:val="center"/>
          </w:tcPr>
          <w:p>
            <w:pPr>
              <w:spacing w:line="36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23</w:t>
            </w:r>
          </w:p>
        </w:tc>
        <w:tc>
          <w:tcPr>
            <w:tcW w:w="2202" w:type="dxa"/>
            <w:tcBorders>
              <w:tl2br w:val="nil"/>
              <w:tr2bl w:val="nil"/>
            </w:tcBorders>
            <w:vAlign w:val="center"/>
          </w:tcPr>
          <w:p>
            <w:pPr>
              <w:spacing w:line="36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项目所属行业</w:t>
            </w:r>
          </w:p>
        </w:tc>
        <w:tc>
          <w:tcPr>
            <w:tcW w:w="6122" w:type="dxa"/>
            <w:gridSpan w:val="2"/>
            <w:tcBorders>
              <w:tl2br w:val="nil"/>
              <w:tr2bl w:val="nil"/>
            </w:tcBorders>
            <w:vAlign w:val="center"/>
          </w:tcPr>
          <w:p>
            <w:pPr>
              <w:pStyle w:val="12"/>
              <w:spacing w:line="360" w:lineRule="exact"/>
              <w:ind w:left="0" w:leftChars="0"/>
              <w:jc w:val="left"/>
              <w:rPr>
                <w:rFonts w:hint="eastAsia" w:ascii="宋体" w:hAnsi="宋体" w:eastAsia="宋体" w:cs="宋体"/>
                <w:sz w:val="22"/>
                <w:szCs w:val="22"/>
              </w:rPr>
            </w:pPr>
            <w:r>
              <w:rPr>
                <w:rFonts w:hint="eastAsia" w:ascii="宋体" w:hAnsi="宋体" w:eastAsia="宋体" w:cs="宋体"/>
                <w:sz w:val="22"/>
                <w:szCs w:val="22"/>
              </w:rPr>
              <w:t>其他未列明行业（水利、环境和公共设施管理业）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15" w:type="dxa"/>
            <w:tcBorders>
              <w:tl2br w:val="nil"/>
              <w:tr2bl w:val="nil"/>
            </w:tcBorders>
            <w:vAlign w:val="center"/>
          </w:tcPr>
          <w:p>
            <w:pPr>
              <w:spacing w:line="36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24</w:t>
            </w:r>
          </w:p>
        </w:tc>
        <w:tc>
          <w:tcPr>
            <w:tcW w:w="2202" w:type="dxa"/>
            <w:tcBorders>
              <w:tl2br w:val="nil"/>
              <w:tr2bl w:val="nil"/>
            </w:tcBorders>
            <w:vAlign w:val="center"/>
          </w:tcPr>
          <w:p>
            <w:pPr>
              <w:spacing w:line="360" w:lineRule="exact"/>
              <w:jc w:val="center"/>
              <w:rPr>
                <w:rFonts w:hint="eastAsia" w:ascii="宋体" w:hAnsi="宋体" w:cs="宋体"/>
                <w:sz w:val="24"/>
                <w:szCs w:val="24"/>
                <w:lang w:eastAsia="zh-CN"/>
              </w:rPr>
            </w:pPr>
            <w:r>
              <w:rPr>
                <w:rFonts w:hint="eastAsia" w:ascii="宋体" w:hAnsi="宋体" w:cs="宋体"/>
                <w:sz w:val="24"/>
                <w:szCs w:val="24"/>
                <w:lang w:eastAsia="zh-CN"/>
              </w:rPr>
              <w:t>项目类别</w:t>
            </w:r>
          </w:p>
        </w:tc>
        <w:tc>
          <w:tcPr>
            <w:tcW w:w="6122" w:type="dxa"/>
            <w:gridSpan w:val="2"/>
            <w:tcBorders>
              <w:tl2br w:val="nil"/>
              <w:tr2bl w:val="nil"/>
            </w:tcBorders>
            <w:vAlign w:val="center"/>
          </w:tcPr>
          <w:p>
            <w:pPr>
              <w:pStyle w:val="12"/>
              <w:spacing w:line="360" w:lineRule="exact"/>
              <w:ind w:left="0" w:leftChars="0"/>
              <w:jc w:val="left"/>
              <w:rPr>
                <w:rFonts w:hint="eastAsia" w:ascii="宋体" w:hAnsi="宋体" w:eastAsia="宋体" w:cs="宋体"/>
                <w:sz w:val="22"/>
                <w:szCs w:val="22"/>
                <w:lang w:eastAsia="zh-CN"/>
              </w:rPr>
            </w:pPr>
            <w:r>
              <w:rPr>
                <w:rFonts w:hint="eastAsia" w:ascii="宋体" w:hAnsi="宋体" w:eastAsia="宋体" w:cs="宋体"/>
                <w:sz w:val="22"/>
                <w:szCs w:val="22"/>
                <w:lang w:eastAsia="zh-CN"/>
              </w:rPr>
              <w:t>服务类</w:t>
            </w:r>
          </w:p>
        </w:tc>
      </w:tr>
    </w:tbl>
    <w:p>
      <w:pPr>
        <w:rPr>
          <w:rFonts w:hAnsi="宋体"/>
          <w:b/>
          <w:bCs/>
          <w:sz w:val="28"/>
          <w:szCs w:val="28"/>
        </w:rPr>
      </w:pPr>
      <w:r>
        <w:rPr>
          <w:rFonts w:hint="eastAsia" w:hAnsi="宋体"/>
          <w:b/>
          <w:bCs/>
          <w:sz w:val="28"/>
          <w:szCs w:val="28"/>
        </w:rPr>
        <w:br w:type="page"/>
      </w:r>
    </w:p>
    <w:p>
      <w:pPr>
        <w:pStyle w:val="11"/>
        <w:snapToGrid w:val="0"/>
        <w:spacing w:line="440" w:lineRule="exact"/>
        <w:jc w:val="center"/>
        <w:rPr>
          <w:rFonts w:hAnsi="宋体" w:cs="Times New Roman"/>
          <w:b/>
          <w:bCs/>
          <w:sz w:val="28"/>
          <w:szCs w:val="28"/>
        </w:rPr>
      </w:pPr>
      <w:r>
        <w:rPr>
          <w:rFonts w:hint="eastAsia" w:hAnsi="宋体"/>
          <w:b/>
          <w:bCs/>
          <w:sz w:val="28"/>
          <w:szCs w:val="28"/>
        </w:rPr>
        <w:t>一、总则</w:t>
      </w:r>
    </w:p>
    <w:p>
      <w:pPr>
        <w:snapToGrid w:val="0"/>
        <w:spacing w:line="440" w:lineRule="exact"/>
        <w:ind w:firstLine="480" w:firstLineChars="200"/>
        <w:jc w:val="left"/>
        <w:outlineLvl w:val="1"/>
        <w:rPr>
          <w:rFonts w:ascii="宋体" w:cs="宋体"/>
          <w:b/>
          <w:bCs/>
          <w:sz w:val="24"/>
          <w:szCs w:val="24"/>
        </w:rPr>
      </w:pPr>
      <w:r>
        <w:rPr>
          <w:rFonts w:hint="eastAsia" w:ascii="宋体" w:hAnsi="宋体" w:cs="宋体"/>
          <w:b/>
          <w:bCs/>
          <w:sz w:val="24"/>
          <w:szCs w:val="24"/>
        </w:rPr>
        <w:t>（一）适用范围</w:t>
      </w:r>
    </w:p>
    <w:p>
      <w:pPr>
        <w:snapToGrid w:val="0"/>
        <w:spacing w:line="440" w:lineRule="exact"/>
        <w:ind w:firstLine="480" w:firstLineChars="200"/>
        <w:jc w:val="left"/>
        <w:rPr>
          <w:rFonts w:ascii="宋体" w:cs="宋体"/>
          <w:sz w:val="24"/>
          <w:szCs w:val="24"/>
        </w:rPr>
      </w:pPr>
      <w:r>
        <w:rPr>
          <w:rFonts w:hint="eastAsia" w:ascii="宋体" w:hAnsi="宋体" w:cs="宋体"/>
          <w:sz w:val="24"/>
          <w:szCs w:val="24"/>
        </w:rPr>
        <w:t>本招标文件适用于本次项目的招标、投标、评标、定标、验收、合同履约、付款等行为（法律、法规另有规定的，从其规定）。</w:t>
      </w:r>
    </w:p>
    <w:p>
      <w:pPr>
        <w:snapToGrid w:val="0"/>
        <w:spacing w:line="440" w:lineRule="exact"/>
        <w:ind w:firstLine="480" w:firstLineChars="200"/>
        <w:jc w:val="left"/>
        <w:outlineLvl w:val="1"/>
        <w:rPr>
          <w:rFonts w:ascii="宋体" w:cs="宋体"/>
          <w:b/>
          <w:bCs/>
          <w:sz w:val="24"/>
          <w:szCs w:val="24"/>
        </w:rPr>
      </w:pPr>
      <w:r>
        <w:rPr>
          <w:rFonts w:hint="eastAsia" w:ascii="宋体" w:hAnsi="宋体" w:cs="宋体"/>
          <w:b/>
          <w:bCs/>
          <w:sz w:val="24"/>
          <w:szCs w:val="24"/>
        </w:rPr>
        <w:t>（二）定义</w:t>
      </w:r>
    </w:p>
    <w:p>
      <w:pPr>
        <w:snapToGrid w:val="0"/>
        <w:spacing w:line="440" w:lineRule="exac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、采购代理机构：是指组织本次招标的机构，即建经投资咨询有限公司。</w:t>
      </w:r>
    </w:p>
    <w:p>
      <w:pPr>
        <w:snapToGrid w:val="0"/>
        <w:spacing w:line="44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、采购人：是指温岭市新河镇人民政府。</w:t>
      </w:r>
    </w:p>
    <w:p>
      <w:pPr>
        <w:snapToGrid w:val="0"/>
        <w:spacing w:line="440" w:lineRule="exact"/>
        <w:ind w:firstLine="480" w:firstLineChars="200"/>
        <w:jc w:val="left"/>
        <w:rPr>
          <w:rFonts w:ascii="宋体" w:cs="宋体"/>
          <w:sz w:val="24"/>
          <w:szCs w:val="24"/>
        </w:rPr>
      </w:pPr>
      <w:r>
        <w:rPr>
          <w:rFonts w:ascii="宋体" w:hAnsi="宋体" w:cs="宋体"/>
          <w:sz w:val="24"/>
          <w:szCs w:val="24"/>
        </w:rPr>
        <w:t>3</w:t>
      </w:r>
      <w:r>
        <w:rPr>
          <w:rFonts w:hint="eastAsia" w:ascii="宋体" w:hAnsi="宋体" w:cs="宋体"/>
          <w:sz w:val="24"/>
          <w:szCs w:val="24"/>
        </w:rPr>
        <w:t>、投标人：是指参加本政府采购项目投标的供应商。</w:t>
      </w:r>
    </w:p>
    <w:p>
      <w:pPr>
        <w:snapToGrid w:val="0"/>
        <w:spacing w:line="440" w:lineRule="exact"/>
        <w:ind w:firstLine="480" w:firstLineChars="200"/>
        <w:jc w:val="left"/>
        <w:rPr>
          <w:rFonts w:ascii="宋体" w:cs="宋体"/>
          <w:sz w:val="24"/>
          <w:szCs w:val="24"/>
        </w:rPr>
      </w:pPr>
      <w:r>
        <w:rPr>
          <w:rFonts w:ascii="宋体" w:hAnsi="宋体" w:cs="宋体"/>
          <w:sz w:val="24"/>
          <w:szCs w:val="24"/>
        </w:rPr>
        <w:t>4</w:t>
      </w:r>
      <w:r>
        <w:rPr>
          <w:rFonts w:hint="eastAsia" w:ascii="宋体" w:hAnsi="宋体" w:cs="宋体"/>
          <w:sz w:val="24"/>
          <w:szCs w:val="24"/>
        </w:rPr>
        <w:t>、货物：是指各种形态和种类的物品，包括原材料、燃料、设备、产品等。</w:t>
      </w:r>
    </w:p>
    <w:p>
      <w:pPr>
        <w:snapToGrid w:val="0"/>
        <w:spacing w:line="440" w:lineRule="exact"/>
        <w:ind w:firstLine="480" w:firstLineChars="200"/>
        <w:jc w:val="left"/>
        <w:rPr>
          <w:rFonts w:ascii="宋体" w:cs="宋体"/>
          <w:sz w:val="24"/>
          <w:szCs w:val="24"/>
        </w:rPr>
      </w:pPr>
      <w:r>
        <w:rPr>
          <w:rFonts w:ascii="宋体" w:hAnsi="宋体" w:cs="宋体"/>
          <w:sz w:val="24"/>
          <w:szCs w:val="24"/>
        </w:rPr>
        <w:t>5</w:t>
      </w:r>
      <w:r>
        <w:rPr>
          <w:rFonts w:hint="eastAsia" w:ascii="宋体" w:hAnsi="宋体" w:cs="宋体"/>
          <w:sz w:val="24"/>
          <w:szCs w:val="24"/>
        </w:rPr>
        <w:t>、服务：是指除货物和工程以外的其他政府采购对象，包括各类专业服务、信息网络开发服务、金融保险服务、运输服务，以及维修与维护服务等。</w:t>
      </w:r>
    </w:p>
    <w:p>
      <w:pPr>
        <w:snapToGrid w:val="0"/>
        <w:spacing w:line="440" w:lineRule="exact"/>
        <w:ind w:firstLine="480" w:firstLineChars="200"/>
        <w:jc w:val="left"/>
        <w:rPr>
          <w:rFonts w:ascii="宋体" w:cs="宋体"/>
          <w:sz w:val="24"/>
          <w:szCs w:val="24"/>
        </w:rPr>
      </w:pPr>
      <w:r>
        <w:rPr>
          <w:rFonts w:ascii="宋体" w:hAnsi="宋体" w:cs="宋体"/>
          <w:sz w:val="24"/>
          <w:szCs w:val="24"/>
        </w:rPr>
        <w:t>6</w:t>
      </w:r>
      <w:r>
        <w:rPr>
          <w:rFonts w:hint="eastAsia" w:ascii="宋体" w:hAnsi="宋体" w:cs="宋体"/>
          <w:sz w:val="24"/>
          <w:szCs w:val="24"/>
        </w:rPr>
        <w:t>、“书面形式”包括信函、传真等。</w:t>
      </w:r>
    </w:p>
    <w:p>
      <w:pPr>
        <w:snapToGrid w:val="0"/>
        <w:spacing w:line="440" w:lineRule="exact"/>
        <w:ind w:firstLine="480" w:firstLineChars="200"/>
        <w:jc w:val="left"/>
        <w:rPr>
          <w:rFonts w:ascii="宋体" w:cs="宋体"/>
          <w:sz w:val="24"/>
          <w:szCs w:val="24"/>
        </w:rPr>
      </w:pPr>
      <w:r>
        <w:rPr>
          <w:rFonts w:ascii="宋体" w:hAnsi="宋体" w:cs="宋体"/>
          <w:sz w:val="24"/>
          <w:szCs w:val="24"/>
        </w:rPr>
        <w:t>7</w:t>
      </w:r>
      <w:r>
        <w:rPr>
          <w:rFonts w:hint="eastAsia" w:ascii="宋体" w:hAnsi="宋体" w:cs="宋体"/>
          <w:sz w:val="24"/>
          <w:szCs w:val="24"/>
        </w:rPr>
        <w:t>、“▲”系指实质性要求条款。</w:t>
      </w:r>
    </w:p>
    <w:p>
      <w:pPr>
        <w:snapToGrid w:val="0"/>
        <w:spacing w:line="440" w:lineRule="exact"/>
        <w:ind w:firstLine="480" w:firstLineChars="200"/>
        <w:jc w:val="left"/>
        <w:outlineLvl w:val="1"/>
        <w:rPr>
          <w:rFonts w:ascii="宋体" w:cs="宋体"/>
          <w:b/>
          <w:bCs/>
          <w:sz w:val="24"/>
          <w:szCs w:val="24"/>
        </w:rPr>
      </w:pPr>
      <w:r>
        <w:rPr>
          <w:rFonts w:hint="eastAsia" w:ascii="宋体" w:hAnsi="宋体" w:cs="宋体"/>
          <w:b/>
          <w:bCs/>
          <w:sz w:val="24"/>
          <w:szCs w:val="24"/>
        </w:rPr>
        <w:t>（三）投标费用</w:t>
      </w:r>
    </w:p>
    <w:p>
      <w:pPr>
        <w:widowControl/>
        <w:snapToGrid w:val="0"/>
        <w:spacing w:line="440" w:lineRule="exact"/>
        <w:ind w:firstLine="480" w:firstLineChars="200"/>
        <w:jc w:val="left"/>
        <w:rPr>
          <w:rFonts w:ascii="宋体" w:hAnsi="宋体" w:cs="宋体"/>
          <w:sz w:val="24"/>
        </w:rPr>
      </w:pPr>
      <w:r>
        <w:rPr>
          <w:rFonts w:hint="eastAsia" w:ascii="宋体" w:hAnsi="宋体" w:cs="宋体"/>
          <w:kern w:val="0"/>
          <w:sz w:val="24"/>
        </w:rPr>
        <w:t>4.1</w:t>
      </w:r>
      <w:r>
        <w:rPr>
          <w:rFonts w:hint="eastAsia" w:ascii="宋体" w:hAnsi="宋体" w:cs="宋体"/>
          <w:sz w:val="24"/>
          <w:szCs w:val="24"/>
        </w:rPr>
        <w:t>不论投标结果如何，投标人均应自行承担所有与投标有关的全部费用（招标文件有相关规定除外）。</w:t>
      </w:r>
    </w:p>
    <w:p>
      <w:pPr>
        <w:widowControl/>
        <w:snapToGrid w:val="0"/>
        <w:spacing w:line="440" w:lineRule="exact"/>
        <w:ind w:firstLine="480" w:firstLineChars="200"/>
        <w:jc w:val="left"/>
        <w:rPr>
          <w:rFonts w:hAnsi="宋体" w:cs="仿宋_GB2312"/>
          <w:b/>
          <w:bCs/>
          <w:sz w:val="24"/>
          <w:u w:val="single"/>
        </w:rPr>
      </w:pPr>
      <w:r>
        <w:rPr>
          <w:rFonts w:hint="eastAsia" w:ascii="宋体" w:hAnsi="宋体" w:cs="宋体"/>
          <w:kern w:val="0"/>
          <w:sz w:val="24"/>
        </w:rPr>
        <w:t>4.2</w:t>
      </w:r>
      <w:r>
        <w:rPr>
          <w:rFonts w:hint="eastAsia" w:hAnsi="宋体" w:cs="仿宋_GB2312"/>
          <w:b/>
          <w:bCs/>
          <w:sz w:val="24"/>
          <w:u w:val="single"/>
        </w:rPr>
        <w:t>本项目采购代理服务费</w:t>
      </w:r>
      <w:r>
        <w:rPr>
          <w:rFonts w:hint="eastAsia" w:hAnsi="宋体" w:cs="仿宋_GB2312"/>
          <w:b/>
          <w:bCs/>
          <w:sz w:val="24"/>
          <w:u w:val="single"/>
          <w:lang w:eastAsia="zh-CN"/>
        </w:rPr>
        <w:t>参照发改价格〔2011〕534号文</w:t>
      </w:r>
      <w:r>
        <w:rPr>
          <w:rFonts w:hint="eastAsia" w:hAnsi="宋体" w:cs="仿宋_GB2312"/>
          <w:b/>
          <w:bCs/>
          <w:sz w:val="24"/>
          <w:u w:val="single"/>
        </w:rPr>
        <w:t>的收费标准（见附表）计取；采购代理服务费须包含在总报价中，由采购代理机构在签发中标通知书时向中标单位收取；本项目按服务招标类型收费，不足</w:t>
      </w:r>
      <w:r>
        <w:rPr>
          <w:rFonts w:hint="eastAsia" w:hAnsi="宋体" w:cs="仿宋_GB2312"/>
          <w:b/>
          <w:bCs/>
          <w:sz w:val="24"/>
          <w:u w:val="single"/>
          <w:lang w:eastAsia="zh-CN"/>
        </w:rPr>
        <w:t>捌仟元按捌仟元计取</w:t>
      </w:r>
      <w:r>
        <w:rPr>
          <w:rFonts w:hint="eastAsia" w:hAnsi="宋体" w:cs="仿宋_GB2312"/>
          <w:b/>
          <w:bCs/>
          <w:sz w:val="24"/>
          <w:u w:val="single"/>
        </w:rPr>
        <w:t>。</w:t>
      </w:r>
    </w:p>
    <w:p>
      <w:pPr>
        <w:jc w:val="center"/>
        <w:rPr>
          <w:rFonts w:hAnsi="宋体" w:cs="仿宋_GB2312"/>
          <w:b/>
          <w:bCs/>
          <w:sz w:val="24"/>
        </w:rPr>
      </w:pPr>
      <w:r>
        <w:rPr>
          <w:b/>
          <w:sz w:val="22"/>
          <w:szCs w:val="22"/>
        </w:rPr>
        <w:pict>
          <v:line id="_x0000_s2052" o:spid="_x0000_s2052" o:spt="20" style="position:absolute;left:0pt;flip:x y;margin-left:54.1pt;margin-top:15.1pt;height:64.7pt;width:71.25pt;z-index:251662336;mso-width-relative:page;mso-height-relative:page;" coordsize="21600,21600" o:allowincell="f" o:gfxdata="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7dce9UAAAAKAQAADwAAAAAAAAABACAAAAAiAAAA&#10;ZHJzL2Rvd25yZXYueG1sUEsBAhQAFAAAAAgAh07iQFdMEScKAgAADAQAAA4AAAAAAAAAAQAgAAAA&#10;JAEAAGRycy9lMm9Eb2MueG1sUEsFBgAAAAAGAAYAWQEAAKAFAAAAAA==&#10;">
            <v:path arrowok="t"/>
            <v:fill focussize="0,0"/>
            <v:stroke/>
            <v:imagedata o:title=""/>
            <o:lock v:ext="edit"/>
          </v:line>
        </w:pict>
      </w:r>
      <w:r>
        <w:rPr>
          <w:rFonts w:hint="eastAsia" w:hAnsi="宋体" w:cs="仿宋_GB2312"/>
          <w:b/>
          <w:bCs/>
          <w:sz w:val="24"/>
        </w:rPr>
        <w:t>附表：招标代理服务收费标准</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2067"/>
        <w:gridCol w:w="2067"/>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2556" w:type="dxa"/>
          </w:tcPr>
          <w:p>
            <w:pPr>
              <w:ind w:firstLine="1540" w:firstLineChars="700"/>
              <w:rPr>
                <w:b/>
                <w:sz w:val="22"/>
                <w:szCs w:val="22"/>
              </w:rPr>
            </w:pPr>
            <w:r>
              <w:rPr>
                <w:b/>
                <w:sz w:val="22"/>
                <w:szCs w:val="22"/>
              </w:rPr>
              <w:pict>
                <v:line id="_x0000_s2051" o:spid="_x0000_s2051" o:spt="20" style="position:absolute;left:0pt;flip:x y;margin-left:-6.65pt;margin-top:5.2pt;height:57.45pt;width:129.75pt;z-index:251661312;mso-width-relative:page;mso-height-relative:page;" coordsize="21600,21600" o:allowincell="f" o:gfxdata="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pn2rT1QAAAAoBAAAPAAAAAAAAAAEAIAAAACIA&#10;AABkcnMvZG93bnJldi54bWxQSwECFAAUAAAACACHTuJAPwbwVQwCAAANBAAADgAAAAAAAAABACAA&#10;AAAkAQAAZHJzL2Uyb0RvYy54bWxQSwUGAAAAAAYABgBZAQAAogUAAAAA&#10;">
                  <v:path arrowok="t"/>
                  <v:fill focussize="0,0"/>
                  <v:stroke/>
                  <v:imagedata o:title=""/>
                  <o:lock v:ext="edit"/>
                </v:line>
              </w:pict>
            </w:r>
            <w:r>
              <w:rPr>
                <w:b/>
                <w:sz w:val="22"/>
                <w:szCs w:val="22"/>
              </w:rPr>
              <w:pict>
                <v:line id="_x0000_s2050" o:spid="_x0000_s2050" o:spt="20" style="position:absolute;left:0pt;margin-left:-9pt;margin-top:-0.5pt;height:0pt;width:0.05pt;z-index:251660288;mso-width-relative:page;mso-height-relative:page;"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kdN+1QAAAAkBAAAPAAAAAAAAAAEAIAAAACIAAABkcnMvZG93bnJldi54bWxQSwEC&#10;FAAUAAAACACHTuJA5epCTfcBAADwAwAADgAAAAAAAAABACAAAAAkAQAAZHJzL2Uyb0RvYy54bWxQ&#10;SwUGAAAAAAYABgBZAQAAjQUAAAAA&#10;">
                  <v:path arrowok="t"/>
                  <v:fill focussize="0,0"/>
                  <v:stroke/>
                  <v:imagedata o:title=""/>
                  <o:lock v:ext="edit"/>
                </v:line>
              </w:pict>
            </w:r>
            <w:r>
              <w:rPr>
                <w:rFonts w:hint="eastAsia"/>
                <w:b/>
                <w:sz w:val="22"/>
                <w:szCs w:val="22"/>
              </w:rPr>
              <w:t>服务</w:t>
            </w:r>
          </w:p>
          <w:p>
            <w:pPr>
              <w:ind w:firstLine="1100" w:firstLineChars="500"/>
              <w:rPr>
                <w:b/>
                <w:sz w:val="22"/>
                <w:szCs w:val="22"/>
              </w:rPr>
            </w:pPr>
            <w:r>
              <w:rPr>
                <w:rFonts w:hint="eastAsia"/>
                <w:b/>
                <w:sz w:val="22"/>
                <w:szCs w:val="22"/>
              </w:rPr>
              <w:t>费　　类型</w:t>
            </w:r>
          </w:p>
          <w:p>
            <w:pPr>
              <w:ind w:firstLine="1540" w:firstLineChars="700"/>
              <w:rPr>
                <w:b/>
                <w:sz w:val="22"/>
                <w:szCs w:val="22"/>
              </w:rPr>
            </w:pPr>
            <w:r>
              <w:rPr>
                <w:rFonts w:hint="eastAsia"/>
                <w:b/>
                <w:sz w:val="22"/>
                <w:szCs w:val="22"/>
              </w:rPr>
              <w:t>率</w:t>
            </w:r>
          </w:p>
          <w:p>
            <w:pPr>
              <w:rPr>
                <w:b/>
                <w:sz w:val="22"/>
                <w:szCs w:val="22"/>
              </w:rPr>
            </w:pPr>
            <w:r>
              <w:rPr>
                <w:rFonts w:hint="eastAsia"/>
                <w:b/>
                <w:sz w:val="22"/>
                <w:szCs w:val="22"/>
              </w:rPr>
              <w:t>中标金额（万元）</w:t>
            </w:r>
          </w:p>
        </w:tc>
        <w:tc>
          <w:tcPr>
            <w:tcW w:w="2067" w:type="dxa"/>
            <w:vAlign w:val="center"/>
          </w:tcPr>
          <w:p>
            <w:pPr>
              <w:jc w:val="center"/>
              <w:rPr>
                <w:b/>
                <w:sz w:val="22"/>
                <w:szCs w:val="22"/>
              </w:rPr>
            </w:pPr>
            <w:r>
              <w:rPr>
                <w:rFonts w:hint="eastAsia"/>
                <w:b/>
                <w:sz w:val="22"/>
                <w:szCs w:val="22"/>
              </w:rPr>
              <w:t>货物招标</w:t>
            </w:r>
          </w:p>
        </w:tc>
        <w:tc>
          <w:tcPr>
            <w:tcW w:w="2067" w:type="dxa"/>
            <w:vAlign w:val="center"/>
          </w:tcPr>
          <w:p>
            <w:pPr>
              <w:jc w:val="center"/>
              <w:rPr>
                <w:b/>
                <w:sz w:val="22"/>
                <w:szCs w:val="22"/>
              </w:rPr>
            </w:pPr>
            <w:r>
              <w:rPr>
                <w:rFonts w:hint="eastAsia"/>
                <w:b/>
                <w:sz w:val="22"/>
                <w:szCs w:val="22"/>
              </w:rPr>
              <w:t>服务招标</w:t>
            </w:r>
          </w:p>
        </w:tc>
        <w:tc>
          <w:tcPr>
            <w:tcW w:w="2067" w:type="dxa"/>
            <w:vAlign w:val="center"/>
          </w:tcPr>
          <w:p>
            <w:pPr>
              <w:jc w:val="center"/>
              <w:rPr>
                <w:b/>
                <w:sz w:val="22"/>
                <w:szCs w:val="22"/>
              </w:rPr>
            </w:pPr>
            <w:r>
              <w:rPr>
                <w:rFonts w:hint="eastAsia"/>
                <w:b/>
                <w:sz w:val="22"/>
                <w:szCs w:val="22"/>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sz w:val="22"/>
                <w:szCs w:val="22"/>
              </w:rPr>
            </w:pPr>
            <w:r>
              <w:rPr>
                <w:rFonts w:hint="eastAsia"/>
                <w:sz w:val="22"/>
                <w:szCs w:val="22"/>
              </w:rPr>
              <w:t>100以下</w:t>
            </w:r>
          </w:p>
        </w:tc>
        <w:tc>
          <w:tcPr>
            <w:tcW w:w="2067" w:type="dxa"/>
          </w:tcPr>
          <w:p>
            <w:pPr>
              <w:jc w:val="center"/>
              <w:rPr>
                <w:sz w:val="22"/>
                <w:szCs w:val="22"/>
              </w:rPr>
            </w:pPr>
            <w:r>
              <w:rPr>
                <w:rFonts w:hint="eastAsia"/>
                <w:sz w:val="22"/>
                <w:szCs w:val="22"/>
              </w:rPr>
              <w:t>1.5%</w:t>
            </w:r>
          </w:p>
        </w:tc>
        <w:tc>
          <w:tcPr>
            <w:tcW w:w="2067" w:type="dxa"/>
          </w:tcPr>
          <w:p>
            <w:pPr>
              <w:jc w:val="center"/>
              <w:rPr>
                <w:sz w:val="22"/>
                <w:szCs w:val="22"/>
              </w:rPr>
            </w:pPr>
            <w:r>
              <w:rPr>
                <w:rFonts w:hint="eastAsia"/>
                <w:sz w:val="22"/>
                <w:szCs w:val="22"/>
              </w:rPr>
              <w:t>1.5%</w:t>
            </w:r>
          </w:p>
        </w:tc>
        <w:tc>
          <w:tcPr>
            <w:tcW w:w="2067" w:type="dxa"/>
          </w:tcPr>
          <w:p>
            <w:pPr>
              <w:jc w:val="center"/>
              <w:rPr>
                <w:sz w:val="22"/>
                <w:szCs w:val="22"/>
              </w:rPr>
            </w:pPr>
            <w:r>
              <w:rPr>
                <w:rFonts w:hint="eastAsia"/>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sz w:val="22"/>
                <w:szCs w:val="22"/>
              </w:rPr>
            </w:pPr>
            <w:r>
              <w:rPr>
                <w:rFonts w:hint="eastAsia"/>
                <w:sz w:val="22"/>
                <w:szCs w:val="22"/>
              </w:rPr>
              <w:t>100-500</w:t>
            </w:r>
          </w:p>
        </w:tc>
        <w:tc>
          <w:tcPr>
            <w:tcW w:w="2067" w:type="dxa"/>
          </w:tcPr>
          <w:p>
            <w:pPr>
              <w:jc w:val="center"/>
              <w:rPr>
                <w:sz w:val="22"/>
                <w:szCs w:val="22"/>
              </w:rPr>
            </w:pPr>
            <w:r>
              <w:rPr>
                <w:rFonts w:hint="eastAsia"/>
                <w:sz w:val="22"/>
                <w:szCs w:val="22"/>
              </w:rPr>
              <w:t>1.1%</w:t>
            </w:r>
          </w:p>
        </w:tc>
        <w:tc>
          <w:tcPr>
            <w:tcW w:w="2067" w:type="dxa"/>
          </w:tcPr>
          <w:p>
            <w:pPr>
              <w:jc w:val="center"/>
              <w:rPr>
                <w:sz w:val="22"/>
                <w:szCs w:val="22"/>
              </w:rPr>
            </w:pPr>
            <w:r>
              <w:rPr>
                <w:rFonts w:hint="eastAsia"/>
                <w:sz w:val="22"/>
                <w:szCs w:val="22"/>
              </w:rPr>
              <w:t>0.8%</w:t>
            </w:r>
          </w:p>
        </w:tc>
        <w:tc>
          <w:tcPr>
            <w:tcW w:w="2067" w:type="dxa"/>
          </w:tcPr>
          <w:p>
            <w:pPr>
              <w:jc w:val="center"/>
              <w:rPr>
                <w:sz w:val="22"/>
                <w:szCs w:val="22"/>
              </w:rPr>
            </w:pPr>
            <w:r>
              <w:rPr>
                <w:rFonts w:hint="eastAsia"/>
                <w:sz w:val="22"/>
                <w:szCs w:val="22"/>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sz w:val="22"/>
                <w:szCs w:val="22"/>
              </w:rPr>
            </w:pPr>
            <w:r>
              <w:rPr>
                <w:rFonts w:hint="eastAsia"/>
                <w:sz w:val="22"/>
                <w:szCs w:val="22"/>
              </w:rPr>
              <w:t>500-1000</w:t>
            </w:r>
          </w:p>
        </w:tc>
        <w:tc>
          <w:tcPr>
            <w:tcW w:w="2067" w:type="dxa"/>
          </w:tcPr>
          <w:p>
            <w:pPr>
              <w:jc w:val="center"/>
              <w:rPr>
                <w:sz w:val="22"/>
                <w:szCs w:val="22"/>
              </w:rPr>
            </w:pPr>
            <w:r>
              <w:rPr>
                <w:rFonts w:hint="eastAsia"/>
                <w:sz w:val="22"/>
                <w:szCs w:val="22"/>
              </w:rPr>
              <w:t>0.8%</w:t>
            </w:r>
          </w:p>
        </w:tc>
        <w:tc>
          <w:tcPr>
            <w:tcW w:w="2067" w:type="dxa"/>
          </w:tcPr>
          <w:p>
            <w:pPr>
              <w:jc w:val="center"/>
              <w:rPr>
                <w:sz w:val="22"/>
                <w:szCs w:val="22"/>
              </w:rPr>
            </w:pPr>
            <w:r>
              <w:rPr>
                <w:rFonts w:hint="eastAsia"/>
                <w:sz w:val="22"/>
                <w:szCs w:val="22"/>
              </w:rPr>
              <w:t>0.45%</w:t>
            </w:r>
          </w:p>
        </w:tc>
        <w:tc>
          <w:tcPr>
            <w:tcW w:w="2067" w:type="dxa"/>
          </w:tcPr>
          <w:p>
            <w:pPr>
              <w:jc w:val="center"/>
              <w:rPr>
                <w:sz w:val="22"/>
                <w:szCs w:val="22"/>
              </w:rPr>
            </w:pPr>
            <w:r>
              <w:rPr>
                <w:rFonts w:hint="eastAsia"/>
                <w:sz w:val="22"/>
                <w:szCs w:val="22"/>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sz w:val="22"/>
                <w:szCs w:val="22"/>
              </w:rPr>
            </w:pPr>
            <w:r>
              <w:rPr>
                <w:rFonts w:hint="eastAsia"/>
                <w:sz w:val="22"/>
                <w:szCs w:val="22"/>
              </w:rPr>
              <w:t>1000-5000</w:t>
            </w:r>
          </w:p>
        </w:tc>
        <w:tc>
          <w:tcPr>
            <w:tcW w:w="2067" w:type="dxa"/>
          </w:tcPr>
          <w:p>
            <w:pPr>
              <w:jc w:val="center"/>
              <w:rPr>
                <w:sz w:val="22"/>
                <w:szCs w:val="22"/>
              </w:rPr>
            </w:pPr>
            <w:r>
              <w:rPr>
                <w:rFonts w:hint="eastAsia"/>
                <w:sz w:val="22"/>
                <w:szCs w:val="22"/>
              </w:rPr>
              <w:t>0.5%</w:t>
            </w:r>
          </w:p>
        </w:tc>
        <w:tc>
          <w:tcPr>
            <w:tcW w:w="2067" w:type="dxa"/>
          </w:tcPr>
          <w:p>
            <w:pPr>
              <w:jc w:val="center"/>
              <w:rPr>
                <w:sz w:val="22"/>
                <w:szCs w:val="22"/>
              </w:rPr>
            </w:pPr>
            <w:r>
              <w:rPr>
                <w:rFonts w:hint="eastAsia"/>
                <w:sz w:val="22"/>
                <w:szCs w:val="22"/>
              </w:rPr>
              <w:t>0.25%</w:t>
            </w:r>
          </w:p>
        </w:tc>
        <w:tc>
          <w:tcPr>
            <w:tcW w:w="2067" w:type="dxa"/>
          </w:tcPr>
          <w:p>
            <w:pPr>
              <w:jc w:val="center"/>
              <w:rPr>
                <w:sz w:val="22"/>
                <w:szCs w:val="22"/>
              </w:rPr>
            </w:pPr>
            <w:r>
              <w:rPr>
                <w:rFonts w:hint="eastAsia"/>
                <w:sz w:val="22"/>
                <w:szCs w:val="22"/>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sz w:val="22"/>
                <w:szCs w:val="22"/>
              </w:rPr>
            </w:pPr>
            <w:r>
              <w:rPr>
                <w:rFonts w:hint="eastAsia"/>
                <w:sz w:val="22"/>
                <w:szCs w:val="22"/>
              </w:rPr>
              <w:t>5000-10000</w:t>
            </w:r>
          </w:p>
        </w:tc>
        <w:tc>
          <w:tcPr>
            <w:tcW w:w="2067" w:type="dxa"/>
          </w:tcPr>
          <w:p>
            <w:pPr>
              <w:jc w:val="center"/>
              <w:rPr>
                <w:sz w:val="22"/>
                <w:szCs w:val="22"/>
              </w:rPr>
            </w:pPr>
            <w:r>
              <w:rPr>
                <w:rFonts w:hint="eastAsia"/>
                <w:sz w:val="22"/>
                <w:szCs w:val="22"/>
              </w:rPr>
              <w:t>0.25%</w:t>
            </w:r>
          </w:p>
        </w:tc>
        <w:tc>
          <w:tcPr>
            <w:tcW w:w="2067" w:type="dxa"/>
          </w:tcPr>
          <w:p>
            <w:pPr>
              <w:jc w:val="center"/>
              <w:rPr>
                <w:sz w:val="22"/>
                <w:szCs w:val="22"/>
              </w:rPr>
            </w:pPr>
            <w:r>
              <w:rPr>
                <w:rFonts w:hint="eastAsia"/>
                <w:sz w:val="22"/>
                <w:szCs w:val="22"/>
              </w:rPr>
              <w:t>0.1%</w:t>
            </w:r>
          </w:p>
        </w:tc>
        <w:tc>
          <w:tcPr>
            <w:tcW w:w="2067" w:type="dxa"/>
          </w:tcPr>
          <w:p>
            <w:pPr>
              <w:jc w:val="center"/>
              <w:rPr>
                <w:sz w:val="22"/>
                <w:szCs w:val="22"/>
              </w:rPr>
            </w:pPr>
            <w:r>
              <w:rPr>
                <w:rFonts w:hint="eastAsia"/>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sz w:val="22"/>
                <w:szCs w:val="22"/>
              </w:rPr>
            </w:pPr>
            <w:r>
              <w:rPr>
                <w:rFonts w:hint="eastAsia"/>
                <w:sz w:val="22"/>
                <w:szCs w:val="22"/>
              </w:rPr>
              <w:t>10000-100000</w:t>
            </w:r>
          </w:p>
        </w:tc>
        <w:tc>
          <w:tcPr>
            <w:tcW w:w="2067" w:type="dxa"/>
          </w:tcPr>
          <w:p>
            <w:pPr>
              <w:jc w:val="center"/>
              <w:rPr>
                <w:sz w:val="22"/>
                <w:szCs w:val="22"/>
              </w:rPr>
            </w:pPr>
            <w:r>
              <w:rPr>
                <w:rFonts w:hint="eastAsia"/>
                <w:sz w:val="22"/>
                <w:szCs w:val="22"/>
              </w:rPr>
              <w:t>0.05%</w:t>
            </w:r>
          </w:p>
        </w:tc>
        <w:tc>
          <w:tcPr>
            <w:tcW w:w="2067" w:type="dxa"/>
          </w:tcPr>
          <w:p>
            <w:pPr>
              <w:jc w:val="center"/>
              <w:rPr>
                <w:sz w:val="22"/>
                <w:szCs w:val="22"/>
              </w:rPr>
            </w:pPr>
            <w:r>
              <w:rPr>
                <w:rFonts w:hint="eastAsia"/>
                <w:sz w:val="22"/>
                <w:szCs w:val="22"/>
              </w:rPr>
              <w:t>0.05%</w:t>
            </w:r>
          </w:p>
        </w:tc>
        <w:tc>
          <w:tcPr>
            <w:tcW w:w="2067" w:type="dxa"/>
          </w:tcPr>
          <w:p>
            <w:pPr>
              <w:jc w:val="center"/>
              <w:rPr>
                <w:sz w:val="22"/>
                <w:szCs w:val="22"/>
              </w:rPr>
            </w:pPr>
            <w:r>
              <w:rPr>
                <w:rFonts w:hint="eastAsia"/>
                <w:sz w:val="22"/>
                <w:szCs w:val="22"/>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56" w:type="dxa"/>
          </w:tcPr>
          <w:p>
            <w:pPr>
              <w:jc w:val="center"/>
              <w:rPr>
                <w:sz w:val="22"/>
                <w:szCs w:val="22"/>
              </w:rPr>
            </w:pPr>
            <w:r>
              <w:rPr>
                <w:rFonts w:hint="eastAsia"/>
                <w:sz w:val="22"/>
                <w:szCs w:val="22"/>
              </w:rPr>
              <w:t>100000以上</w:t>
            </w:r>
          </w:p>
        </w:tc>
        <w:tc>
          <w:tcPr>
            <w:tcW w:w="2067" w:type="dxa"/>
          </w:tcPr>
          <w:p>
            <w:pPr>
              <w:jc w:val="center"/>
              <w:rPr>
                <w:sz w:val="22"/>
                <w:szCs w:val="22"/>
              </w:rPr>
            </w:pPr>
            <w:r>
              <w:rPr>
                <w:rFonts w:hint="eastAsia"/>
                <w:sz w:val="22"/>
                <w:szCs w:val="22"/>
              </w:rPr>
              <w:t>0.01%</w:t>
            </w:r>
          </w:p>
        </w:tc>
        <w:tc>
          <w:tcPr>
            <w:tcW w:w="2067" w:type="dxa"/>
          </w:tcPr>
          <w:p>
            <w:pPr>
              <w:jc w:val="center"/>
              <w:rPr>
                <w:sz w:val="22"/>
                <w:szCs w:val="22"/>
              </w:rPr>
            </w:pPr>
            <w:r>
              <w:rPr>
                <w:rFonts w:hint="eastAsia"/>
                <w:sz w:val="22"/>
                <w:szCs w:val="22"/>
              </w:rPr>
              <w:t>0.01%</w:t>
            </w:r>
          </w:p>
        </w:tc>
        <w:tc>
          <w:tcPr>
            <w:tcW w:w="2067" w:type="dxa"/>
          </w:tcPr>
          <w:p>
            <w:pPr>
              <w:jc w:val="center"/>
              <w:rPr>
                <w:sz w:val="22"/>
                <w:szCs w:val="22"/>
              </w:rPr>
            </w:pPr>
            <w:r>
              <w:rPr>
                <w:rFonts w:hint="eastAsia"/>
                <w:sz w:val="22"/>
                <w:szCs w:val="22"/>
              </w:rPr>
              <w:t>0.01%</w:t>
            </w:r>
          </w:p>
        </w:tc>
      </w:tr>
    </w:tbl>
    <w:p>
      <w:pPr>
        <w:pStyle w:val="11"/>
        <w:snapToGrid w:val="0"/>
        <w:spacing w:line="440" w:lineRule="exact"/>
        <w:ind w:firstLine="240" w:firstLineChars="100"/>
        <w:rPr>
          <w:rFonts w:hAnsi="宋体" w:cs="Times New Roman"/>
          <w:b/>
          <w:bCs/>
          <w:sz w:val="24"/>
          <w:szCs w:val="24"/>
        </w:rPr>
      </w:pPr>
      <w:r>
        <w:rPr>
          <w:rFonts w:hint="eastAsia" w:hAnsi="宋体"/>
          <w:b/>
          <w:bCs/>
          <w:sz w:val="24"/>
          <w:szCs w:val="24"/>
        </w:rPr>
        <w:t>（四）特别说明</w:t>
      </w:r>
    </w:p>
    <w:p>
      <w:pPr>
        <w:pStyle w:val="11"/>
        <w:snapToGrid w:val="0"/>
        <w:spacing w:line="440" w:lineRule="exact"/>
        <w:ind w:firstLine="480" w:firstLineChars="200"/>
        <w:rPr>
          <w:rFonts w:hAnsi="宋体" w:cs="Times New Roman"/>
          <w:sz w:val="24"/>
          <w:szCs w:val="24"/>
        </w:rPr>
      </w:pPr>
      <w:r>
        <w:rPr>
          <w:rFonts w:hAnsi="宋体"/>
          <w:sz w:val="24"/>
          <w:szCs w:val="24"/>
        </w:rPr>
        <w:t>1</w:t>
      </w:r>
      <w:r>
        <w:rPr>
          <w:rFonts w:hint="eastAsia" w:hAnsi="宋体"/>
          <w:sz w:val="24"/>
          <w:szCs w:val="24"/>
        </w:rPr>
        <w:t>、投标人投标所使用的资格、信誉、荣誉、业绩与企业认证必须为本法人所拥有。投标人投标所使用的采购项目实施人员必须为本法人员工（指本法人或控股公司正式员工）。</w:t>
      </w:r>
    </w:p>
    <w:p>
      <w:pPr>
        <w:spacing w:line="44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投标供应商所投产品除招标文件中明确规定要求“提供官网截图或相应检测报告的证明材料”以外，所有技术参数描述均以投标文件为准，投标供应商需在投标文件中说明本次投标产品的技术参数是否与官网上公开的技术参数一致，如不一致，明确哪些参数不一致，不一致的原因以及使用何种技术可以达到投标产品参数。投标供应商对所投产品技术参数的真实性承担法律责任。项目招标结束后、质疑期限内，如有质疑供应商认为中标人所投产品、投标文件技术参数与采购需求存在重大偏离、错误、甚至造假的情况，应提供具体有效的证明材料。</w:t>
      </w:r>
    </w:p>
    <w:p>
      <w:pPr>
        <w:pStyle w:val="39"/>
        <w:snapToGrid w:val="0"/>
        <w:spacing w:line="440" w:lineRule="exact"/>
        <w:ind w:firstLine="480"/>
        <w:rPr>
          <w:rFonts w:ascii="宋体" w:cs="宋体"/>
          <w:sz w:val="24"/>
          <w:szCs w:val="24"/>
        </w:rPr>
      </w:pPr>
      <w:r>
        <w:rPr>
          <w:rFonts w:ascii="宋体" w:hAnsi="宋体" w:cs="宋体"/>
          <w:sz w:val="24"/>
          <w:szCs w:val="24"/>
        </w:rPr>
        <w:t>3</w:t>
      </w:r>
      <w:r>
        <w:rPr>
          <w:rFonts w:hint="eastAsia" w:ascii="宋体" w:hAnsi="宋体" w:cs="宋体"/>
          <w:sz w:val="24"/>
          <w:szCs w:val="24"/>
        </w:rPr>
        <w:t>、投标人在投标活动中提供任何虚假材料</w:t>
      </w:r>
      <w:r>
        <w:rPr>
          <w:rFonts w:hint="eastAsia" w:ascii="宋体" w:hAnsi="宋体" w:cs="宋体"/>
          <w:sz w:val="24"/>
          <w:szCs w:val="24"/>
          <w:lang w:eastAsia="zh-CN"/>
        </w:rPr>
        <w:t>，</w:t>
      </w:r>
      <w:r>
        <w:rPr>
          <w:rFonts w:hint="eastAsia" w:ascii="宋体" w:hAnsi="宋体" w:cs="宋体"/>
          <w:sz w:val="24"/>
          <w:szCs w:val="24"/>
        </w:rPr>
        <w:t>其投标无效，并报监管部门查处；中标后发现的</w:t>
      </w:r>
      <w:r>
        <w:rPr>
          <w:rFonts w:hint="eastAsia" w:ascii="宋体" w:hAnsi="宋体" w:cs="宋体"/>
          <w:sz w:val="24"/>
          <w:szCs w:val="24"/>
          <w:lang w:eastAsia="zh-CN"/>
        </w:rPr>
        <w:t>，</w:t>
      </w:r>
      <w:r>
        <w:rPr>
          <w:rFonts w:hint="eastAsia" w:ascii="宋体" w:hAnsi="宋体" w:cs="宋体"/>
          <w:sz w:val="24"/>
          <w:szCs w:val="24"/>
        </w:rPr>
        <w:t>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7"/>
        <w:keepNext w:val="0"/>
        <w:keepLines w:val="0"/>
        <w:tabs>
          <w:tab w:val="left" w:pos="851"/>
        </w:tabs>
        <w:autoSpaceDE w:val="0"/>
        <w:autoSpaceDN w:val="0"/>
        <w:adjustRightInd w:val="0"/>
        <w:snapToGrid w:val="0"/>
        <w:spacing w:before="0" w:after="0" w:line="440" w:lineRule="exact"/>
        <w:ind w:firstLine="480" w:firstLineChars="200"/>
        <w:rPr>
          <w:rFonts w:ascii="宋体" w:cs="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、投标人不得相互串通投标报价，不得妨碍其他投标人的公平竞争，不得损害采购人或其他投标人的合法权益，投标人不得以向采购人、评标委员会成员行贿或者采取其他不正当手段谋取中标。</w:t>
      </w:r>
    </w:p>
    <w:p>
      <w:pPr>
        <w:pStyle w:val="7"/>
        <w:keepNext w:val="0"/>
        <w:keepLines w:val="0"/>
        <w:tabs>
          <w:tab w:val="left" w:pos="851"/>
        </w:tabs>
        <w:autoSpaceDE w:val="0"/>
        <w:autoSpaceDN w:val="0"/>
        <w:adjustRightInd w:val="0"/>
        <w:snapToGrid w:val="0"/>
        <w:spacing w:before="0" w:after="0" w:line="440" w:lineRule="exact"/>
        <w:ind w:firstLine="480" w:firstLineChars="200"/>
        <w:rPr>
          <w:rFonts w:ascii="宋体" w:cs="宋体"/>
          <w:b w:val="0"/>
          <w:bCs w:val="0"/>
          <w:sz w:val="24"/>
          <w:szCs w:val="24"/>
        </w:rPr>
      </w:pPr>
      <w:r>
        <w:rPr>
          <w:rFonts w:ascii="宋体" w:hAnsi="宋体" w:cs="宋体"/>
          <w:b w:val="0"/>
          <w:bCs w:val="0"/>
          <w:sz w:val="24"/>
          <w:szCs w:val="24"/>
        </w:rPr>
        <w:t>5</w:t>
      </w:r>
      <w:r>
        <w:rPr>
          <w:rFonts w:hint="eastAsia" w:ascii="宋体" w:hAnsi="宋体" w:cs="宋体"/>
          <w:b w:val="0"/>
          <w:bCs w:val="0"/>
          <w:sz w:val="24"/>
          <w:szCs w:val="24"/>
        </w:rPr>
        <w:t>、投标文件格式中的表格式样可以根据项目差别做适当调整</w:t>
      </w:r>
      <w:r>
        <w:rPr>
          <w:rFonts w:hint="eastAsia" w:ascii="宋体" w:hAnsi="宋体" w:cs="宋体"/>
          <w:b w:val="0"/>
          <w:bCs w:val="0"/>
          <w:sz w:val="24"/>
          <w:szCs w:val="24"/>
          <w:lang w:eastAsia="zh-CN"/>
        </w:rPr>
        <w:t>，</w:t>
      </w:r>
      <w:r>
        <w:rPr>
          <w:rFonts w:hint="eastAsia" w:ascii="宋体" w:hAnsi="宋体" w:cs="宋体"/>
          <w:b w:val="0"/>
          <w:bCs w:val="0"/>
          <w:sz w:val="24"/>
          <w:szCs w:val="24"/>
        </w:rPr>
        <w:t>但应当保持表格样式基本形态不变。</w:t>
      </w:r>
    </w:p>
    <w:p>
      <w:pPr>
        <w:pStyle w:val="7"/>
        <w:keepNext w:val="0"/>
        <w:keepLines w:val="0"/>
        <w:tabs>
          <w:tab w:val="left" w:pos="851"/>
        </w:tabs>
        <w:autoSpaceDE w:val="0"/>
        <w:autoSpaceDN w:val="0"/>
        <w:adjustRightInd w:val="0"/>
        <w:snapToGrid w:val="0"/>
        <w:spacing w:before="0" w:after="0" w:line="440" w:lineRule="exact"/>
        <w:ind w:firstLine="480" w:firstLineChars="200"/>
        <w:rPr>
          <w:rFonts w:ascii="宋体" w:cs="宋体"/>
          <w:b w:val="0"/>
          <w:bCs w:val="0"/>
          <w:sz w:val="24"/>
          <w:szCs w:val="24"/>
        </w:rPr>
      </w:pPr>
      <w:r>
        <w:rPr>
          <w:rFonts w:ascii="宋体" w:hAnsi="宋体" w:cs="宋体"/>
          <w:b w:val="0"/>
          <w:bCs w:val="0"/>
          <w:sz w:val="24"/>
          <w:szCs w:val="24"/>
        </w:rPr>
        <w:t>6</w:t>
      </w:r>
      <w:r>
        <w:rPr>
          <w:rFonts w:hint="eastAsia" w:ascii="宋体" w:hAnsi="宋体" w:cs="宋体"/>
          <w:b w:val="0"/>
          <w:bCs w:val="0"/>
          <w:sz w:val="24"/>
          <w:szCs w:val="24"/>
        </w:rPr>
        <w:t>、本项目不允许分包。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440" w:lineRule="exact"/>
        <w:jc w:val="center"/>
        <w:rPr>
          <w:rFonts w:ascii="宋体" w:cs="宋体"/>
          <w:b/>
          <w:bCs/>
          <w:sz w:val="28"/>
          <w:szCs w:val="28"/>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440" w:lineRule="exact"/>
        <w:jc w:val="center"/>
        <w:rPr>
          <w:rFonts w:ascii="宋体" w:cs="宋体"/>
          <w:b/>
          <w:bCs/>
          <w:sz w:val="28"/>
          <w:szCs w:val="28"/>
        </w:rPr>
      </w:pPr>
      <w:r>
        <w:rPr>
          <w:rFonts w:hint="eastAsia" w:ascii="宋体" w:hAnsi="宋体" w:cs="宋体"/>
          <w:b/>
          <w:bCs/>
          <w:sz w:val="28"/>
          <w:szCs w:val="28"/>
        </w:rPr>
        <w:t>二、招标文件</w:t>
      </w:r>
    </w:p>
    <w:p>
      <w:pPr>
        <w:autoSpaceDE w:val="0"/>
        <w:autoSpaceDN w:val="0"/>
        <w:adjustRightInd w:val="0"/>
        <w:spacing w:line="440" w:lineRule="exact"/>
        <w:ind w:firstLine="480" w:firstLineChars="200"/>
        <w:rPr>
          <w:rFonts w:ascii="宋体" w:cs="宋体"/>
          <w:kern w:val="0"/>
          <w:sz w:val="24"/>
          <w:szCs w:val="24"/>
        </w:rPr>
      </w:pPr>
      <w:r>
        <w:rPr>
          <w:rFonts w:hint="eastAsia" w:ascii="宋体" w:hAnsi="宋体" w:cs="宋体"/>
          <w:kern w:val="0"/>
          <w:sz w:val="24"/>
          <w:szCs w:val="24"/>
        </w:rPr>
        <w:t>（一）招标文件由招标文件目录所列内容组成。</w:t>
      </w:r>
    </w:p>
    <w:p>
      <w:pPr>
        <w:autoSpaceDE w:val="0"/>
        <w:autoSpaceDN w:val="0"/>
        <w:adjustRightInd w:val="0"/>
        <w:spacing w:line="440" w:lineRule="exact"/>
        <w:ind w:firstLine="480" w:firstLineChars="200"/>
        <w:rPr>
          <w:rFonts w:ascii="宋体" w:hAnsi="宋体" w:cs="宋体"/>
          <w:kern w:val="0"/>
          <w:sz w:val="24"/>
          <w:szCs w:val="24"/>
        </w:rPr>
      </w:pPr>
      <w:r>
        <w:rPr>
          <w:rFonts w:hint="eastAsia" w:ascii="宋体" w:hAnsi="宋体" w:cs="宋体"/>
          <w:kern w:val="0"/>
          <w:sz w:val="24"/>
          <w:szCs w:val="24"/>
        </w:rPr>
        <w:t>（二）招标文件的澄清或修改</w:t>
      </w:r>
      <w:r>
        <w:rPr>
          <w:rFonts w:ascii="宋体" w:hAnsi="宋体" w:cs="宋体"/>
          <w:kern w:val="0"/>
          <w:sz w:val="24"/>
          <w:szCs w:val="24"/>
        </w:rPr>
        <w:t xml:space="preserve"> </w:t>
      </w:r>
    </w:p>
    <w:p>
      <w:pPr>
        <w:autoSpaceDE w:val="0"/>
        <w:autoSpaceDN w:val="0"/>
        <w:adjustRightInd w:val="0"/>
        <w:spacing w:line="440" w:lineRule="exact"/>
        <w:ind w:firstLine="480" w:firstLineChars="200"/>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、采购人或采购代理机构可以对已发出的招标文件进行必要的澄清或者修改</w:t>
      </w:r>
      <w:r>
        <w:rPr>
          <w:rFonts w:hint="eastAsia" w:ascii="宋体" w:hAnsi="宋体" w:cs="宋体"/>
          <w:kern w:val="0"/>
          <w:sz w:val="24"/>
          <w:szCs w:val="24"/>
          <w:lang w:eastAsia="zh-CN"/>
        </w:rPr>
        <w:t>，</w:t>
      </w:r>
      <w:r>
        <w:rPr>
          <w:rFonts w:hint="eastAsia" w:ascii="宋体" w:hAnsi="宋体" w:cs="宋体"/>
          <w:kern w:val="0"/>
          <w:sz w:val="24"/>
          <w:szCs w:val="24"/>
        </w:rPr>
        <w:t>但不得改变采购标的和资格条件。澄清或者修改应当在原公告发布媒体上发布澄清公告。澄清或者修改的内容为招标文件的组成部分。</w:t>
      </w:r>
    </w:p>
    <w:p>
      <w:pPr>
        <w:autoSpaceDE w:val="0"/>
        <w:autoSpaceDN w:val="0"/>
        <w:adjustRightInd w:val="0"/>
        <w:spacing w:line="440" w:lineRule="exact"/>
        <w:ind w:firstLine="480" w:firstLineChars="200"/>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、澄清或者修改的内容可能影响投标文件编制的，采购人或者采购代理机构应当在投标截止时间至少</w:t>
      </w:r>
      <w:r>
        <w:rPr>
          <w:rFonts w:ascii="宋体" w:hAnsi="宋体" w:cs="宋体"/>
          <w:kern w:val="0"/>
          <w:sz w:val="24"/>
          <w:szCs w:val="24"/>
        </w:rPr>
        <w:t>15</w:t>
      </w:r>
      <w:r>
        <w:rPr>
          <w:rFonts w:hint="eastAsia" w:ascii="宋体" w:hAnsi="宋体" w:cs="宋体"/>
          <w:kern w:val="0"/>
          <w:sz w:val="24"/>
          <w:szCs w:val="24"/>
        </w:rPr>
        <w:t>日前，以书面形式通知所有获取招标文件的潜在投标人；不足</w:t>
      </w:r>
      <w:r>
        <w:rPr>
          <w:rFonts w:ascii="宋体" w:hAnsi="宋体" w:cs="宋体"/>
          <w:kern w:val="0"/>
          <w:sz w:val="24"/>
          <w:szCs w:val="24"/>
        </w:rPr>
        <w:t>15</w:t>
      </w:r>
      <w:r>
        <w:rPr>
          <w:rFonts w:hint="eastAsia" w:ascii="宋体" w:hAnsi="宋体" w:cs="宋体"/>
          <w:kern w:val="0"/>
          <w:sz w:val="24"/>
          <w:szCs w:val="24"/>
        </w:rPr>
        <w:t>日的，采购人或者采购代理机构应当顺延提交投标文件的截止时间。</w:t>
      </w:r>
      <w:r>
        <w:rPr>
          <w:rFonts w:ascii="宋体" w:hAnsi="宋体" w:cs="宋体"/>
          <w:kern w:val="0"/>
          <w:sz w:val="24"/>
          <w:szCs w:val="24"/>
        </w:rPr>
        <w:t xml:space="preserve"> </w:t>
      </w:r>
    </w:p>
    <w:p>
      <w:pPr>
        <w:autoSpaceDE w:val="0"/>
        <w:autoSpaceDN w:val="0"/>
        <w:adjustRightInd w:val="0"/>
        <w:spacing w:line="440" w:lineRule="exact"/>
        <w:ind w:firstLine="480" w:firstLineChars="200"/>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、投标人在规定的时间内未对招标文件提出疑问、质疑或要求澄清的，将视其为无异议。对招标文件中描述有歧义或前后不一致的地方，评标委员会有权进行评判，但对同一条款的评判应适用于每个投标人。</w:t>
      </w:r>
    </w:p>
    <w:p>
      <w:pPr>
        <w:tabs>
          <w:tab w:val="left" w:pos="1418"/>
        </w:tabs>
        <w:autoSpaceDE w:val="0"/>
        <w:autoSpaceDN w:val="0"/>
        <w:adjustRightInd w:val="0"/>
        <w:spacing w:line="440" w:lineRule="exact"/>
        <w:ind w:firstLine="560" w:firstLineChars="200"/>
        <w:jc w:val="center"/>
        <w:rPr>
          <w:rFonts w:ascii="宋体" w:cs="宋体"/>
          <w:b/>
          <w:bCs/>
          <w:sz w:val="28"/>
          <w:szCs w:val="28"/>
        </w:rPr>
      </w:pPr>
    </w:p>
    <w:p>
      <w:pPr>
        <w:tabs>
          <w:tab w:val="left" w:pos="1418"/>
        </w:tabs>
        <w:autoSpaceDE w:val="0"/>
        <w:autoSpaceDN w:val="0"/>
        <w:adjustRightInd w:val="0"/>
        <w:spacing w:line="440" w:lineRule="exact"/>
        <w:jc w:val="center"/>
        <w:rPr>
          <w:rFonts w:ascii="宋体" w:cs="宋体"/>
          <w:b/>
          <w:bCs/>
          <w:sz w:val="28"/>
          <w:szCs w:val="28"/>
        </w:rPr>
      </w:pPr>
      <w:r>
        <w:rPr>
          <w:rFonts w:hint="eastAsia" w:ascii="宋体" w:hAnsi="宋体" w:cs="宋体"/>
          <w:b/>
          <w:bCs/>
          <w:sz w:val="28"/>
          <w:szCs w:val="28"/>
        </w:rPr>
        <w:t>三、投标文件</w:t>
      </w:r>
    </w:p>
    <w:p>
      <w:pPr>
        <w:autoSpaceDE w:val="0"/>
        <w:autoSpaceDN w:val="0"/>
        <w:adjustRightInd w:val="0"/>
        <w:spacing w:line="440" w:lineRule="exact"/>
        <w:ind w:firstLine="480" w:firstLineChars="200"/>
        <w:rPr>
          <w:rFonts w:ascii="宋体" w:cs="宋体"/>
          <w:b/>
          <w:bCs/>
          <w:sz w:val="24"/>
          <w:szCs w:val="24"/>
          <w:lang w:val="zh-CN"/>
        </w:rPr>
      </w:pPr>
      <w:r>
        <w:rPr>
          <w:rFonts w:hint="eastAsia" w:ascii="宋体" w:cs="宋体"/>
          <w:b/>
          <w:bCs/>
          <w:sz w:val="24"/>
          <w:szCs w:val="24"/>
          <w:lang w:val="zh-CN"/>
        </w:rPr>
        <w:t>（一）投标文件的形式和效力：</w:t>
      </w:r>
    </w:p>
    <w:p>
      <w:pPr>
        <w:autoSpaceDE w:val="0"/>
        <w:autoSpaceDN w:val="0"/>
        <w:adjustRightInd w:val="0"/>
        <w:spacing w:line="440" w:lineRule="exact"/>
        <w:ind w:firstLine="480" w:firstLineChars="200"/>
        <w:rPr>
          <w:rFonts w:ascii="宋体" w:cs="宋体"/>
          <w:b/>
          <w:bCs/>
          <w:sz w:val="24"/>
          <w:szCs w:val="24"/>
          <w:lang w:val="zh-CN"/>
        </w:rPr>
      </w:pPr>
      <w:r>
        <w:rPr>
          <w:rFonts w:hint="eastAsia" w:ascii="宋体" w:cs="宋体"/>
          <w:b/>
          <w:bCs/>
          <w:sz w:val="24"/>
          <w:szCs w:val="24"/>
          <w:lang w:val="zh-CN"/>
        </w:rPr>
        <w:t>1、投标文件的形式：</w:t>
      </w:r>
    </w:p>
    <w:p>
      <w:pPr>
        <w:snapToGrid w:val="0"/>
        <w:spacing w:line="440" w:lineRule="exact"/>
        <w:ind w:firstLine="480" w:firstLineChars="200"/>
        <w:rPr>
          <w:rFonts w:ascii="宋体" w:hAnsi="宋体" w:cs="宋体"/>
          <w:kern w:val="0"/>
          <w:sz w:val="24"/>
          <w:szCs w:val="24"/>
          <w:lang w:val="zh-CN"/>
        </w:rPr>
      </w:pPr>
      <w:r>
        <w:rPr>
          <w:rFonts w:hint="eastAsia" w:ascii="宋体" w:hAnsi="宋体" w:cs="宋体"/>
          <w:kern w:val="0"/>
          <w:sz w:val="24"/>
          <w:szCs w:val="24"/>
          <w:lang w:val="zh-CN"/>
        </w:rPr>
        <w:t>电子投标文件（包括“电子加密投标文件”和“备份投标文件”，在投标文件编制完成后同时生成）；</w:t>
      </w:r>
    </w:p>
    <w:p>
      <w:pPr>
        <w:snapToGrid w:val="0"/>
        <w:spacing w:line="440" w:lineRule="exact"/>
        <w:ind w:firstLine="480" w:firstLineChars="200"/>
        <w:rPr>
          <w:rFonts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rPr>
        <w:t>1</w:t>
      </w:r>
      <w:r>
        <w:rPr>
          <w:rFonts w:hint="eastAsia" w:ascii="宋体" w:hAnsi="宋体" w:cs="宋体"/>
          <w:kern w:val="0"/>
          <w:sz w:val="24"/>
          <w:szCs w:val="24"/>
          <w:lang w:val="zh-CN"/>
        </w:rPr>
        <w:t>）“电子加密投标文件”是指通过“政采云电子交易客户端”完成投标文件编制后生成并加密的数据电文形式的投标文件。</w:t>
      </w:r>
    </w:p>
    <w:p>
      <w:pPr>
        <w:snapToGrid w:val="0"/>
        <w:spacing w:line="440" w:lineRule="exact"/>
        <w:ind w:firstLine="480" w:firstLineChars="200"/>
        <w:rPr>
          <w:rFonts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rPr>
        <w:t>2</w:t>
      </w:r>
      <w:r>
        <w:rPr>
          <w:rFonts w:hint="eastAsia" w:ascii="宋体" w:hAnsi="宋体" w:cs="宋体"/>
          <w:kern w:val="0"/>
          <w:sz w:val="24"/>
          <w:szCs w:val="24"/>
          <w:lang w:val="zh-CN"/>
        </w:rPr>
        <w:t>）“备份投标文件”是指与“电子加密投标文件”同时生成的数据电文形式的电子文件（备份标书），其他方式编制的“备份投标文件”视为无效“备份投标文件”。</w:t>
      </w:r>
    </w:p>
    <w:p>
      <w:pPr>
        <w:autoSpaceDE w:val="0"/>
        <w:autoSpaceDN w:val="0"/>
        <w:adjustRightInd w:val="0"/>
        <w:spacing w:line="440" w:lineRule="exact"/>
        <w:ind w:firstLine="480" w:firstLineChars="200"/>
        <w:rPr>
          <w:rFonts w:ascii="宋体" w:cs="宋体"/>
          <w:b/>
          <w:bCs/>
          <w:sz w:val="24"/>
          <w:szCs w:val="24"/>
          <w:lang w:val="zh-CN"/>
        </w:rPr>
      </w:pPr>
      <w:r>
        <w:rPr>
          <w:rFonts w:hint="eastAsia" w:ascii="宋体" w:cs="宋体"/>
          <w:b/>
          <w:bCs/>
          <w:sz w:val="24"/>
          <w:szCs w:val="24"/>
        </w:rPr>
        <w:t>2、</w:t>
      </w:r>
      <w:r>
        <w:rPr>
          <w:rFonts w:hint="eastAsia" w:ascii="宋体" w:cs="宋体"/>
          <w:b/>
          <w:bCs/>
          <w:sz w:val="24"/>
          <w:szCs w:val="24"/>
          <w:lang w:val="zh-CN"/>
        </w:rPr>
        <w:t>投标文件的效力：</w:t>
      </w:r>
    </w:p>
    <w:p>
      <w:pPr>
        <w:snapToGrid w:val="0"/>
        <w:spacing w:line="440" w:lineRule="exact"/>
        <w:ind w:firstLine="480" w:firstLineChars="200"/>
        <w:rPr>
          <w:rFonts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rPr>
        <w:t>1</w:t>
      </w:r>
      <w:r>
        <w:rPr>
          <w:rFonts w:hint="eastAsia" w:ascii="宋体" w:hAnsi="宋体" w:cs="宋体"/>
          <w:kern w:val="0"/>
          <w:sz w:val="24"/>
          <w:szCs w:val="24"/>
          <w:lang w:val="zh-CN"/>
        </w:rPr>
        <w:t>）投标文件的启用，按先后顺位分别为“电子加密投标文件”、“备份投标文件”。</w:t>
      </w:r>
    </w:p>
    <w:p>
      <w:pPr>
        <w:snapToGrid w:val="0"/>
        <w:spacing w:line="440" w:lineRule="exact"/>
        <w:ind w:firstLine="480" w:firstLineChars="200"/>
        <w:rPr>
          <w:rFonts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rPr>
        <w:t>2</w:t>
      </w:r>
      <w:r>
        <w:rPr>
          <w:rFonts w:hint="eastAsia" w:ascii="宋体" w:hAnsi="宋体" w:cs="宋体"/>
          <w:kern w:val="0"/>
          <w:sz w:val="24"/>
          <w:szCs w:val="24"/>
          <w:lang w:val="zh-CN"/>
        </w:rPr>
        <w:t>）通过“政府采购云平台”上传递交的“电子加密投标文件”已按时解密的，“备份投标文件”自动失效。</w:t>
      </w:r>
    </w:p>
    <w:p>
      <w:pPr>
        <w:snapToGrid w:val="0"/>
        <w:spacing w:line="440" w:lineRule="exact"/>
        <w:ind w:firstLine="480" w:firstLineChars="200"/>
        <w:rPr>
          <w:rFonts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rPr>
        <w:t>3</w:t>
      </w:r>
      <w:r>
        <w:rPr>
          <w:rFonts w:hint="eastAsia" w:ascii="宋体" w:hAnsi="宋体" w:cs="宋体"/>
          <w:kern w:val="0"/>
          <w:sz w:val="24"/>
          <w:szCs w:val="24"/>
          <w:lang w:val="zh-CN"/>
        </w:rPr>
        <w:t>）通过“政府采购云平台”上传递交的“电子加密投标文件”无法按时解密，投标供应商递交了“备份投标文件”的，以“备份投标文件”为依据；未提交“备份投标文件”的，视为无效投标。</w:t>
      </w:r>
    </w:p>
    <w:p>
      <w:pPr>
        <w:snapToGrid w:val="0"/>
        <w:spacing w:line="440" w:lineRule="exact"/>
        <w:ind w:firstLine="480" w:firstLineChars="200"/>
        <w:rPr>
          <w:rFonts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rPr>
        <w:t>4</w:t>
      </w:r>
      <w:r>
        <w:rPr>
          <w:rFonts w:hint="eastAsia" w:ascii="宋体" w:hAnsi="宋体" w:cs="宋体"/>
          <w:kern w:val="0"/>
          <w:sz w:val="24"/>
          <w:szCs w:val="24"/>
          <w:lang w:val="zh-CN"/>
        </w:rPr>
        <w:t>）投标供应商仅递交“备份投标文件”，未递交“电子加密投标文件”的，视为无效投标。</w:t>
      </w:r>
    </w:p>
    <w:p>
      <w:pPr>
        <w:autoSpaceDE w:val="0"/>
        <w:autoSpaceDN w:val="0"/>
        <w:adjustRightInd w:val="0"/>
        <w:spacing w:line="440" w:lineRule="exact"/>
        <w:ind w:firstLine="480" w:firstLineChars="200"/>
        <w:rPr>
          <w:rFonts w:ascii="宋体" w:cs="宋体"/>
          <w:b/>
          <w:bCs/>
          <w:kern w:val="0"/>
          <w:sz w:val="24"/>
          <w:szCs w:val="24"/>
        </w:rPr>
      </w:pPr>
      <w:r>
        <w:rPr>
          <w:rFonts w:hint="eastAsia" w:ascii="宋体" w:cs="宋体"/>
          <w:b/>
          <w:bCs/>
          <w:sz w:val="24"/>
          <w:szCs w:val="24"/>
          <w:lang w:val="zh-CN"/>
        </w:rPr>
        <w:t>（二）</w:t>
      </w:r>
      <w:r>
        <w:rPr>
          <w:rFonts w:hint="eastAsia" w:ascii="宋体" w:hAnsi="宋体" w:cs="宋体"/>
          <w:b/>
          <w:bCs/>
          <w:kern w:val="0"/>
          <w:sz w:val="24"/>
          <w:szCs w:val="24"/>
        </w:rPr>
        <w:t>投标文件的组成</w:t>
      </w:r>
    </w:p>
    <w:p>
      <w:pPr>
        <w:snapToGrid w:val="0"/>
        <w:spacing w:line="440" w:lineRule="exact"/>
        <w:ind w:firstLine="480" w:firstLineChars="200"/>
        <w:rPr>
          <w:rFonts w:ascii="仿宋_GB2312" w:hAnsi="仿宋_GB2312" w:eastAsia="仿宋_GB2312"/>
          <w:sz w:val="24"/>
          <w:szCs w:val="24"/>
          <w:lang w:val="zh-CN"/>
        </w:rPr>
      </w:pPr>
      <w:r>
        <w:rPr>
          <w:rFonts w:hint="eastAsia" w:ascii="宋体" w:hAnsi="宋体" w:cs="宋体"/>
          <w:kern w:val="0"/>
          <w:sz w:val="24"/>
          <w:szCs w:val="24"/>
        </w:rPr>
        <w:t>投标人获取招标文件后，按照招标文件的要求提供：资格证明文件、商务技术文件和报价文件。</w:t>
      </w:r>
    </w:p>
    <w:p>
      <w:pPr>
        <w:widowControl/>
        <w:spacing w:line="440" w:lineRule="exact"/>
        <w:jc w:val="left"/>
        <w:rPr>
          <w:rFonts w:ascii="宋体"/>
          <w:b/>
          <w:bCs/>
          <w:sz w:val="24"/>
          <w:szCs w:val="24"/>
        </w:rPr>
      </w:pPr>
      <w:r>
        <w:rPr>
          <w:rFonts w:ascii="宋体" w:hAnsi="宋体" w:cs="宋体"/>
          <w:b/>
          <w:bCs/>
          <w:color w:val="FF0000"/>
          <w:sz w:val="24"/>
          <w:szCs w:val="24"/>
        </w:rPr>
        <w:t>1</w:t>
      </w:r>
      <w:r>
        <w:rPr>
          <w:rFonts w:hint="eastAsia" w:ascii="宋体" w:hAnsi="宋体" w:cs="宋体"/>
          <w:b/>
          <w:bCs/>
          <w:color w:val="FF0000"/>
          <w:sz w:val="24"/>
          <w:szCs w:val="24"/>
        </w:rPr>
        <w:t>、资格证明文件的组成：</w:t>
      </w:r>
      <w:r>
        <w:rPr>
          <w:rFonts w:hint="eastAsia" w:ascii="宋体" w:hAnsi="宋体" w:cs="宋体"/>
          <w:b/>
          <w:color w:val="FF0000"/>
          <w:kern w:val="0"/>
          <w:sz w:val="24"/>
        </w:rPr>
        <w:t xml:space="preserve"> （未提供下列</w:t>
      </w:r>
      <w:r>
        <w:rPr>
          <w:rFonts w:hint="eastAsia" w:ascii="宋体" w:hAnsi="宋体" w:cs="宋体"/>
          <w:b/>
          <w:color w:val="FF0000"/>
          <w:kern w:val="0"/>
          <w:sz w:val="24"/>
          <w:lang w:eastAsia="zh-CN"/>
        </w:rPr>
        <w:t>标记“</w:t>
      </w:r>
      <w:r>
        <w:rPr>
          <w:rFonts w:hint="eastAsia" w:ascii="宋体" w:hAnsi="宋体" w:cs="宋体"/>
          <w:b/>
          <w:bCs/>
          <w:color w:val="auto"/>
          <w:sz w:val="24"/>
          <w:szCs w:val="24"/>
        </w:rPr>
        <w:t>▲</w:t>
      </w:r>
      <w:r>
        <w:rPr>
          <w:rFonts w:hint="eastAsia" w:ascii="宋体" w:hAnsi="宋体" w:cs="宋体"/>
          <w:b/>
          <w:color w:val="FF0000"/>
          <w:kern w:val="0"/>
          <w:sz w:val="24"/>
          <w:lang w:eastAsia="zh-CN"/>
        </w:rPr>
        <w:t>”</w:t>
      </w:r>
      <w:r>
        <w:rPr>
          <w:rFonts w:hint="eastAsia" w:ascii="宋体" w:hAnsi="宋体" w:cs="宋体"/>
          <w:b/>
          <w:color w:val="FF0000"/>
          <w:kern w:val="0"/>
          <w:sz w:val="24"/>
        </w:rPr>
        <w:t>材料的资格审查认定为无效）</w:t>
      </w:r>
    </w:p>
    <w:tbl>
      <w:tblPr>
        <w:tblStyle w:val="20"/>
        <w:tblW w:w="94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3389"/>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trPr>
        <w:tc>
          <w:tcPr>
            <w:tcW w:w="893"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序号</w:t>
            </w:r>
          </w:p>
        </w:tc>
        <w:tc>
          <w:tcPr>
            <w:tcW w:w="3389"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内容</w:t>
            </w:r>
          </w:p>
        </w:tc>
        <w:tc>
          <w:tcPr>
            <w:tcW w:w="5139"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3" w:type="dxa"/>
            <w:vAlign w:val="center"/>
          </w:tcPr>
          <w:p>
            <w:pPr>
              <w:widowControl/>
              <w:snapToGrid w:val="0"/>
              <w:spacing w:line="340" w:lineRule="exact"/>
              <w:jc w:val="center"/>
              <w:rPr>
                <w:rFonts w:ascii="宋体" w:hAnsi="宋体" w:cs="宋体"/>
                <w:color w:val="auto"/>
                <w:sz w:val="24"/>
                <w:szCs w:val="24"/>
              </w:rPr>
            </w:pPr>
            <w:r>
              <w:rPr>
                <w:rFonts w:hint="eastAsia" w:ascii="宋体" w:hAnsi="宋体" w:cs="宋体"/>
                <w:b/>
                <w:bCs/>
                <w:color w:val="auto"/>
                <w:sz w:val="24"/>
                <w:szCs w:val="24"/>
              </w:rPr>
              <w:t>▲</w:t>
            </w:r>
            <w:r>
              <w:rPr>
                <w:rFonts w:ascii="宋体" w:hAnsi="宋体" w:cs="宋体"/>
                <w:color w:val="auto"/>
                <w:sz w:val="24"/>
                <w:szCs w:val="24"/>
              </w:rPr>
              <w:t>1</w:t>
            </w:r>
          </w:p>
        </w:tc>
        <w:tc>
          <w:tcPr>
            <w:tcW w:w="3389" w:type="dxa"/>
            <w:vAlign w:val="center"/>
          </w:tcPr>
          <w:p>
            <w:pPr>
              <w:widowControl/>
              <w:snapToGrid w:val="0"/>
              <w:spacing w:line="340" w:lineRule="exact"/>
              <w:rPr>
                <w:rFonts w:ascii="宋体" w:cs="宋体"/>
                <w:color w:val="auto"/>
                <w:kern w:val="0"/>
                <w:sz w:val="24"/>
                <w:szCs w:val="24"/>
              </w:rPr>
            </w:pPr>
            <w:r>
              <w:rPr>
                <w:rFonts w:hint="eastAsia" w:ascii="宋体" w:hAnsi="宋体" w:cs="宋体"/>
                <w:color w:val="auto"/>
                <w:kern w:val="0"/>
                <w:sz w:val="24"/>
                <w:szCs w:val="24"/>
              </w:rPr>
              <w:t>投标声明书</w:t>
            </w:r>
            <w:r>
              <w:rPr>
                <w:rFonts w:hint="eastAsia" w:ascii="宋体" w:hAnsi="宋体" w:cs="宋体"/>
                <w:color w:val="auto"/>
                <w:kern w:val="0"/>
                <w:sz w:val="24"/>
              </w:rPr>
              <w:t>（若没有重大违法记录，请承诺）</w:t>
            </w:r>
          </w:p>
        </w:tc>
        <w:tc>
          <w:tcPr>
            <w:tcW w:w="5139" w:type="dxa"/>
            <w:vAlign w:val="center"/>
          </w:tcPr>
          <w:p>
            <w:pPr>
              <w:widowControl/>
              <w:snapToGrid w:val="0"/>
              <w:spacing w:line="340" w:lineRule="exact"/>
              <w:rPr>
                <w:rFonts w:ascii="宋体" w:cs="宋体"/>
                <w:sz w:val="24"/>
                <w:szCs w:val="24"/>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3" w:type="dxa"/>
            <w:vAlign w:val="center"/>
          </w:tcPr>
          <w:p>
            <w:pPr>
              <w:widowControl/>
              <w:snapToGrid w:val="0"/>
              <w:spacing w:line="340" w:lineRule="exact"/>
              <w:jc w:val="center"/>
              <w:rPr>
                <w:rFonts w:ascii="宋体" w:hAnsi="宋体" w:cs="宋体"/>
                <w:color w:val="auto"/>
                <w:sz w:val="24"/>
                <w:szCs w:val="24"/>
              </w:rPr>
            </w:pPr>
            <w:r>
              <w:rPr>
                <w:rFonts w:hint="eastAsia" w:ascii="宋体" w:hAnsi="宋体" w:cs="宋体"/>
                <w:b/>
                <w:bCs/>
                <w:color w:val="auto"/>
                <w:sz w:val="24"/>
                <w:szCs w:val="24"/>
              </w:rPr>
              <w:t>▲</w:t>
            </w:r>
            <w:r>
              <w:rPr>
                <w:rFonts w:hint="eastAsia" w:ascii="宋体" w:hAnsi="宋体" w:cs="宋体"/>
                <w:color w:val="auto"/>
                <w:sz w:val="24"/>
                <w:szCs w:val="24"/>
              </w:rPr>
              <w:t>2</w:t>
            </w:r>
          </w:p>
        </w:tc>
        <w:tc>
          <w:tcPr>
            <w:tcW w:w="3389" w:type="dxa"/>
            <w:vAlign w:val="center"/>
          </w:tcPr>
          <w:p>
            <w:pPr>
              <w:widowControl/>
              <w:snapToGrid w:val="0"/>
              <w:spacing w:line="340" w:lineRule="exact"/>
              <w:rPr>
                <w:rFonts w:ascii="宋体" w:hAnsi="宋体" w:cs="宋体"/>
                <w:color w:val="auto"/>
                <w:kern w:val="0"/>
                <w:sz w:val="24"/>
                <w:szCs w:val="24"/>
              </w:rPr>
            </w:pPr>
            <w:r>
              <w:rPr>
                <w:rFonts w:hint="eastAsia" w:ascii="宋体" w:hAnsi="宋体" w:cs="宋体"/>
                <w:color w:val="auto"/>
                <w:kern w:val="0"/>
                <w:sz w:val="24"/>
                <w:szCs w:val="24"/>
              </w:rPr>
              <w:t>法定代表人身份证明书或授权委托书</w:t>
            </w:r>
          </w:p>
        </w:tc>
        <w:tc>
          <w:tcPr>
            <w:tcW w:w="5139" w:type="dxa"/>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格式附后，如授权委托代理人的则需提供授权委托书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3" w:type="dxa"/>
            <w:vAlign w:val="center"/>
          </w:tcPr>
          <w:p>
            <w:pPr>
              <w:widowControl/>
              <w:snapToGrid w:val="0"/>
              <w:spacing w:line="340" w:lineRule="exact"/>
              <w:jc w:val="center"/>
              <w:rPr>
                <w:rFonts w:ascii="宋体" w:hAnsi="宋体" w:cs="宋体"/>
                <w:color w:val="auto"/>
                <w:sz w:val="24"/>
                <w:szCs w:val="24"/>
              </w:rPr>
            </w:pPr>
            <w:r>
              <w:rPr>
                <w:rFonts w:hint="eastAsia" w:ascii="宋体" w:hAnsi="宋体" w:cs="宋体"/>
                <w:b/>
                <w:bCs/>
                <w:color w:val="auto"/>
                <w:sz w:val="24"/>
                <w:szCs w:val="24"/>
              </w:rPr>
              <w:t>▲</w:t>
            </w:r>
            <w:r>
              <w:rPr>
                <w:rFonts w:hint="eastAsia" w:ascii="宋体" w:hAnsi="宋体" w:cs="宋体"/>
                <w:color w:val="auto"/>
                <w:sz w:val="24"/>
                <w:szCs w:val="24"/>
              </w:rPr>
              <w:t>3</w:t>
            </w:r>
          </w:p>
        </w:tc>
        <w:tc>
          <w:tcPr>
            <w:tcW w:w="3389" w:type="dxa"/>
            <w:vAlign w:val="center"/>
          </w:tcPr>
          <w:p>
            <w:pPr>
              <w:widowControl/>
              <w:snapToGrid w:val="0"/>
              <w:spacing w:line="340" w:lineRule="exact"/>
              <w:rPr>
                <w:rFonts w:ascii="宋体" w:cs="宋体"/>
                <w:color w:val="auto"/>
                <w:kern w:val="0"/>
                <w:sz w:val="24"/>
                <w:szCs w:val="24"/>
              </w:rPr>
            </w:pPr>
            <w:r>
              <w:rPr>
                <w:rFonts w:hint="eastAsia" w:ascii="宋体" w:hAnsi="宋体" w:cs="宋体"/>
                <w:color w:val="auto"/>
                <w:kern w:val="0"/>
                <w:sz w:val="24"/>
                <w:szCs w:val="24"/>
              </w:rPr>
              <w:t>法人或者其他组织的营业执照等证明文件，自然人的身份证明</w:t>
            </w:r>
          </w:p>
        </w:tc>
        <w:tc>
          <w:tcPr>
            <w:tcW w:w="5139" w:type="dxa"/>
            <w:vAlign w:val="center"/>
          </w:tcPr>
          <w:p>
            <w:pPr>
              <w:widowControl/>
              <w:snapToGrid w:val="0"/>
              <w:spacing w:line="340" w:lineRule="exact"/>
              <w:rPr>
                <w:rFonts w:ascii="宋体" w:cs="宋体"/>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3" w:type="dxa"/>
            <w:vAlign w:val="center"/>
          </w:tcPr>
          <w:p>
            <w:pPr>
              <w:widowControl/>
              <w:snapToGrid w:val="0"/>
              <w:spacing w:line="340" w:lineRule="exact"/>
              <w:jc w:val="center"/>
              <w:rPr>
                <w:rFonts w:hint="eastAsia" w:ascii="宋体" w:hAnsi="宋体" w:eastAsia="宋体" w:cs="宋体"/>
                <w:color w:val="auto"/>
                <w:sz w:val="24"/>
                <w:szCs w:val="24"/>
                <w:lang w:eastAsia="zh-CN"/>
              </w:rPr>
            </w:pPr>
            <w:r>
              <w:rPr>
                <w:rFonts w:hint="eastAsia" w:ascii="宋体" w:hAnsi="宋体" w:cs="宋体"/>
                <w:b/>
                <w:bCs/>
                <w:color w:val="auto"/>
                <w:sz w:val="24"/>
                <w:szCs w:val="24"/>
              </w:rPr>
              <w:t>▲</w:t>
            </w:r>
            <w:r>
              <w:rPr>
                <w:rFonts w:hint="eastAsia" w:ascii="宋体" w:hAnsi="宋体" w:cs="宋体"/>
                <w:color w:val="auto"/>
                <w:sz w:val="24"/>
                <w:szCs w:val="24"/>
                <w:lang w:val="en-US" w:eastAsia="zh-CN"/>
              </w:rPr>
              <w:t>4</w:t>
            </w:r>
          </w:p>
        </w:tc>
        <w:tc>
          <w:tcPr>
            <w:tcW w:w="3389" w:type="dxa"/>
            <w:vAlign w:val="center"/>
          </w:tcPr>
          <w:p>
            <w:pPr>
              <w:widowControl/>
              <w:snapToGrid w:val="0"/>
              <w:spacing w:line="340" w:lineRule="exact"/>
              <w:rPr>
                <w:rFonts w:ascii="宋体" w:cs="宋体"/>
                <w:color w:val="auto"/>
                <w:kern w:val="0"/>
                <w:sz w:val="24"/>
                <w:szCs w:val="24"/>
              </w:rPr>
            </w:pPr>
            <w:r>
              <w:rPr>
                <w:rFonts w:hint="eastAsia" w:ascii="宋体" w:hAnsi="宋体" w:cs="宋体"/>
                <w:color w:val="auto"/>
                <w:kern w:val="0"/>
                <w:sz w:val="24"/>
                <w:szCs w:val="24"/>
              </w:rPr>
              <w:t>具备履行合同所必需的设备和专业技术能力的证明材料</w:t>
            </w:r>
          </w:p>
        </w:tc>
        <w:tc>
          <w:tcPr>
            <w:tcW w:w="5139" w:type="dxa"/>
            <w:vAlign w:val="center"/>
          </w:tcPr>
          <w:p>
            <w:pPr>
              <w:widowControl/>
              <w:snapToGrid w:val="0"/>
              <w:spacing w:line="340" w:lineRule="exact"/>
              <w:rPr>
                <w:rFonts w:hint="eastAsia" w:ascii="宋体" w:eastAsia="宋体" w:cs="宋体"/>
                <w:kern w:val="0"/>
                <w:sz w:val="24"/>
                <w:szCs w:val="24"/>
                <w:lang w:eastAsia="zh-CN"/>
              </w:rPr>
            </w:pPr>
            <w:r>
              <w:rPr>
                <w:rFonts w:hint="eastAsia" w:ascii="宋体" w:hAnsi="宋体" w:cs="宋体"/>
                <w:kern w:val="0"/>
                <w:sz w:val="24"/>
                <w:szCs w:val="24"/>
              </w:rPr>
              <w:t>格式、内容自拟</w:t>
            </w:r>
            <w:r>
              <w:rPr>
                <w:rFonts w:hint="eastAsia" w:ascii="宋体" w:hAnsi="宋体" w:cs="宋体"/>
                <w:kern w:val="0"/>
                <w:sz w:val="24"/>
                <w:szCs w:val="24"/>
                <w:lang w:eastAsia="zh-CN"/>
              </w:rPr>
              <w:t>，此项内容不可写“无”。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3" w:type="dxa"/>
            <w:vAlign w:val="center"/>
          </w:tcPr>
          <w:p>
            <w:pPr>
              <w:widowControl/>
              <w:snapToGrid w:val="0"/>
              <w:spacing w:line="340" w:lineRule="exact"/>
              <w:jc w:val="center"/>
              <w:rPr>
                <w:rFonts w:hint="eastAsia" w:ascii="宋体" w:hAnsi="宋体" w:eastAsia="宋体" w:cs="宋体"/>
                <w:kern w:val="2"/>
                <w:sz w:val="24"/>
                <w:szCs w:val="24"/>
                <w:lang w:val="en-US" w:eastAsia="zh-CN" w:bidi="ar-SA"/>
              </w:rPr>
            </w:pPr>
            <w:r>
              <w:rPr>
                <w:rFonts w:hint="eastAsia" w:ascii="宋体" w:hAnsi="宋体" w:cs="宋体"/>
                <w:b/>
                <w:bCs/>
                <w:color w:val="auto"/>
                <w:sz w:val="24"/>
                <w:szCs w:val="24"/>
              </w:rPr>
              <w:t>▲</w:t>
            </w:r>
            <w:r>
              <w:rPr>
                <w:rFonts w:hint="eastAsia" w:ascii="宋体" w:hAnsi="宋体" w:cs="宋体"/>
                <w:sz w:val="24"/>
                <w:szCs w:val="24"/>
                <w:lang w:val="en-US" w:eastAsia="zh-CN"/>
              </w:rPr>
              <w:t>5</w:t>
            </w:r>
          </w:p>
        </w:tc>
        <w:tc>
          <w:tcPr>
            <w:tcW w:w="3389" w:type="dxa"/>
            <w:vAlign w:val="center"/>
          </w:tcPr>
          <w:p>
            <w:pPr>
              <w:widowControl/>
              <w:snapToGrid w:val="0"/>
              <w:spacing w:line="340" w:lineRule="exact"/>
              <w:rPr>
                <w:rFonts w:hint="eastAsia" w:ascii="宋体" w:hAnsi="宋体" w:eastAsia="宋体" w:cs="宋体"/>
                <w:kern w:val="0"/>
                <w:sz w:val="24"/>
                <w:szCs w:val="24"/>
                <w:lang w:val="en-US" w:eastAsia="zh-CN" w:bidi="ar-SA"/>
              </w:rPr>
            </w:pPr>
            <w:r>
              <w:rPr>
                <w:rFonts w:hint="eastAsia" w:ascii="宋体" w:hAnsi="宋体" w:cs="宋体"/>
                <w:kern w:val="0"/>
                <w:sz w:val="24"/>
                <w:szCs w:val="24"/>
              </w:rPr>
              <w:t>投标人的《中小企业声明函（服务）》等</w:t>
            </w:r>
            <w:r>
              <w:rPr>
                <w:rFonts w:hint="eastAsia" w:ascii="宋体" w:hAnsi="宋体" w:cs="宋体"/>
                <w:kern w:val="0"/>
                <w:sz w:val="24"/>
                <w:szCs w:val="24"/>
                <w:lang w:val="zh-CN"/>
              </w:rPr>
              <w:t>相关证明材料</w:t>
            </w:r>
          </w:p>
        </w:tc>
        <w:tc>
          <w:tcPr>
            <w:tcW w:w="5139" w:type="dxa"/>
            <w:vAlign w:val="center"/>
          </w:tcPr>
          <w:p>
            <w:pPr>
              <w:widowControl/>
              <w:snapToGrid w:val="0"/>
              <w:spacing w:line="340" w:lineRule="exact"/>
              <w:rPr>
                <w:rFonts w:hint="eastAsia" w:ascii="宋体" w:hAnsi="宋体" w:eastAsia="宋体" w:cs="宋体"/>
                <w:kern w:val="0"/>
                <w:sz w:val="24"/>
                <w:szCs w:val="24"/>
                <w:lang w:val="en-US" w:eastAsia="zh-CN" w:bidi="ar-SA"/>
              </w:rPr>
            </w:pPr>
            <w:r>
              <w:rPr>
                <w:rFonts w:hint="eastAsia" w:ascii="宋体" w:hAnsi="宋体" w:cs="宋体"/>
                <w:kern w:val="0"/>
                <w:sz w:val="24"/>
                <w:szCs w:val="24"/>
              </w:rPr>
              <w:t>格式附后。</w:t>
            </w:r>
            <w:r>
              <w:rPr>
                <w:rFonts w:hint="eastAsia" w:ascii="宋体"/>
                <w:b/>
                <w:bCs/>
                <w:color w:val="FF0000"/>
                <w:sz w:val="24"/>
                <w:szCs w:val="24"/>
              </w:rPr>
              <w:t>监狱企业、残疾人福利性单位视同中小型企业，若为残疾人福利性单位请提供残疾人福利性单位声明函（格式附后）；若为监狱企业，请提供省级以上监狱管理局、戒毒管理局（含新疆生产建设兵团）开具的属于监狱企业的证明文件（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3" w:type="dxa"/>
            <w:vAlign w:val="center"/>
          </w:tcPr>
          <w:p>
            <w:pPr>
              <w:widowControl/>
              <w:snapToGrid w:val="0"/>
              <w:spacing w:line="34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6</w:t>
            </w:r>
          </w:p>
        </w:tc>
        <w:tc>
          <w:tcPr>
            <w:tcW w:w="3389" w:type="dxa"/>
            <w:vAlign w:val="center"/>
          </w:tcPr>
          <w:p>
            <w:pPr>
              <w:widowControl/>
              <w:snapToGrid w:val="0"/>
              <w:spacing w:line="340" w:lineRule="exact"/>
              <w:rPr>
                <w:rFonts w:ascii="宋体" w:cs="宋体"/>
                <w:kern w:val="0"/>
                <w:sz w:val="24"/>
                <w:szCs w:val="24"/>
              </w:rPr>
            </w:pPr>
            <w:r>
              <w:rPr>
                <w:rFonts w:hint="eastAsia" w:ascii="宋体" w:cs="宋体"/>
                <w:kern w:val="0"/>
                <w:sz w:val="24"/>
                <w:szCs w:val="24"/>
              </w:rPr>
              <w:t>投标人认为需要提供的</w:t>
            </w:r>
            <w:r>
              <w:rPr>
                <w:rFonts w:hint="eastAsia" w:ascii="宋体" w:cs="宋体"/>
                <w:kern w:val="0"/>
                <w:sz w:val="24"/>
                <w:szCs w:val="24"/>
                <w:lang w:eastAsia="zh-CN"/>
              </w:rPr>
              <w:t>其他</w:t>
            </w:r>
            <w:r>
              <w:rPr>
                <w:rFonts w:hint="eastAsia" w:ascii="宋体" w:cs="宋体"/>
                <w:kern w:val="0"/>
                <w:sz w:val="24"/>
                <w:szCs w:val="24"/>
              </w:rPr>
              <w:t>文件和资料</w:t>
            </w:r>
          </w:p>
        </w:tc>
        <w:tc>
          <w:tcPr>
            <w:tcW w:w="5139" w:type="dxa"/>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格式、内容自拟</w:t>
            </w:r>
          </w:p>
        </w:tc>
      </w:tr>
    </w:tbl>
    <w:p>
      <w:pPr>
        <w:snapToGrid w:val="0"/>
        <w:spacing w:line="440" w:lineRule="exact"/>
        <w:ind w:firstLine="480" w:firstLineChars="200"/>
        <w:rPr>
          <w:rFonts w:ascii="宋体"/>
          <w:sz w:val="24"/>
          <w:szCs w:val="24"/>
          <w:u w:val="single"/>
        </w:rPr>
      </w:pPr>
      <w:r>
        <w:rPr>
          <w:rFonts w:ascii="宋体" w:hAnsi="宋体" w:cs="宋体"/>
          <w:b/>
          <w:bCs/>
          <w:sz w:val="24"/>
          <w:szCs w:val="24"/>
        </w:rPr>
        <w:t>2</w:t>
      </w:r>
      <w:r>
        <w:rPr>
          <w:rFonts w:hint="eastAsia" w:ascii="宋体" w:hAnsi="宋体" w:cs="宋体"/>
          <w:b/>
          <w:bCs/>
          <w:sz w:val="24"/>
          <w:szCs w:val="24"/>
        </w:rPr>
        <w:t>、商务技术文件的组成：</w:t>
      </w:r>
    </w:p>
    <w:tbl>
      <w:tblPr>
        <w:tblStyle w:val="20"/>
        <w:tblW w:w="9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trPr>
        <w:tc>
          <w:tcPr>
            <w:tcW w:w="817"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序号</w:t>
            </w:r>
          </w:p>
        </w:tc>
        <w:tc>
          <w:tcPr>
            <w:tcW w:w="8603"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17" w:type="dxa"/>
            <w:vAlign w:val="center"/>
          </w:tcPr>
          <w:p>
            <w:pPr>
              <w:widowControl/>
              <w:snapToGrid w:val="0"/>
              <w:spacing w:line="340" w:lineRule="exact"/>
              <w:jc w:val="center"/>
              <w:rPr>
                <w:rFonts w:ascii="宋体" w:hAnsi="宋体" w:cs="宋体"/>
                <w:sz w:val="24"/>
                <w:szCs w:val="24"/>
              </w:rPr>
            </w:pPr>
            <w:r>
              <w:rPr>
                <w:rFonts w:hint="eastAsia" w:ascii="宋体" w:hAnsi="宋体" w:cs="宋体"/>
                <w:sz w:val="24"/>
                <w:szCs w:val="24"/>
              </w:rPr>
              <w:t>1</w:t>
            </w:r>
          </w:p>
        </w:tc>
        <w:tc>
          <w:tcPr>
            <w:tcW w:w="8603" w:type="dxa"/>
            <w:vAlign w:val="center"/>
          </w:tcPr>
          <w:p>
            <w:pPr>
              <w:widowControl/>
              <w:snapToGrid w:val="0"/>
              <w:spacing w:line="340" w:lineRule="exact"/>
              <w:rPr>
                <w:rFonts w:ascii="宋体" w:cs="宋体"/>
                <w:sz w:val="24"/>
                <w:szCs w:val="24"/>
              </w:rPr>
            </w:pPr>
            <w:r>
              <w:rPr>
                <w:rFonts w:hint="eastAsia" w:ascii="宋体" w:cs="宋体"/>
                <w:sz w:val="24"/>
                <w:szCs w:val="24"/>
              </w:rPr>
              <w:t>供应商自评表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17" w:type="dxa"/>
            <w:vAlign w:val="center"/>
          </w:tcPr>
          <w:p>
            <w:pPr>
              <w:widowControl/>
              <w:snapToGrid w:val="0"/>
              <w:spacing w:line="340" w:lineRule="exact"/>
              <w:jc w:val="center"/>
              <w:rPr>
                <w:rFonts w:ascii="宋体" w:hAnsi="宋体" w:cs="宋体"/>
                <w:sz w:val="24"/>
                <w:szCs w:val="24"/>
              </w:rPr>
            </w:pPr>
            <w:r>
              <w:rPr>
                <w:rFonts w:hint="eastAsia" w:ascii="宋体" w:hAnsi="宋体" w:cs="宋体"/>
                <w:sz w:val="24"/>
                <w:szCs w:val="24"/>
              </w:rPr>
              <w:t>2</w:t>
            </w:r>
          </w:p>
        </w:tc>
        <w:tc>
          <w:tcPr>
            <w:tcW w:w="8603" w:type="dxa"/>
            <w:vAlign w:val="center"/>
          </w:tcPr>
          <w:p>
            <w:pPr>
              <w:widowControl/>
              <w:snapToGrid w:val="0"/>
              <w:spacing w:line="340" w:lineRule="exact"/>
              <w:rPr>
                <w:rFonts w:ascii="宋体" w:cs="宋体"/>
                <w:sz w:val="24"/>
                <w:szCs w:val="24"/>
              </w:rPr>
            </w:pPr>
            <w:r>
              <w:rPr>
                <w:rFonts w:hint="eastAsia" w:ascii="宋体" w:cs="宋体"/>
                <w:sz w:val="24"/>
                <w:szCs w:val="24"/>
              </w:rPr>
              <w:t>投标人基本情况表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17" w:type="dxa"/>
            <w:vAlign w:val="center"/>
          </w:tcPr>
          <w:p>
            <w:pPr>
              <w:widowControl/>
              <w:snapToGrid w:val="0"/>
              <w:spacing w:line="340" w:lineRule="exact"/>
              <w:jc w:val="center"/>
              <w:rPr>
                <w:rFonts w:ascii="宋体" w:hAnsi="宋体" w:cs="宋体"/>
                <w:sz w:val="24"/>
                <w:szCs w:val="24"/>
              </w:rPr>
            </w:pPr>
            <w:r>
              <w:rPr>
                <w:rFonts w:hint="eastAsia" w:ascii="宋体" w:hAnsi="宋体" w:cs="宋体"/>
                <w:sz w:val="24"/>
                <w:szCs w:val="24"/>
              </w:rPr>
              <w:t>3</w:t>
            </w:r>
          </w:p>
        </w:tc>
        <w:tc>
          <w:tcPr>
            <w:tcW w:w="8603" w:type="dxa"/>
            <w:vAlign w:val="center"/>
          </w:tcPr>
          <w:p>
            <w:pPr>
              <w:widowControl/>
              <w:snapToGrid w:val="0"/>
              <w:spacing w:line="340" w:lineRule="exact"/>
              <w:rPr>
                <w:rFonts w:ascii="宋体" w:hAnsi="宋体" w:cs="宋体"/>
                <w:sz w:val="24"/>
                <w:szCs w:val="24"/>
              </w:rPr>
            </w:pPr>
            <w:r>
              <w:rPr>
                <w:rFonts w:hint="eastAsia" w:ascii="宋体" w:hAnsi="宋体" w:cs="宋体"/>
                <w:sz w:val="24"/>
                <w:szCs w:val="24"/>
              </w:rPr>
              <w:t>证书一览表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17" w:type="dxa"/>
            <w:vAlign w:val="center"/>
          </w:tcPr>
          <w:p>
            <w:pPr>
              <w:snapToGrid w:val="0"/>
              <w:spacing w:line="340" w:lineRule="exact"/>
              <w:jc w:val="center"/>
              <w:rPr>
                <w:rFonts w:ascii="宋体" w:hAnsi="宋体" w:cs="宋体"/>
                <w:sz w:val="24"/>
                <w:szCs w:val="24"/>
              </w:rPr>
            </w:pPr>
            <w:r>
              <w:rPr>
                <w:rFonts w:hint="eastAsia" w:ascii="宋体" w:cs="宋体"/>
                <w:sz w:val="24"/>
                <w:szCs w:val="24"/>
              </w:rPr>
              <w:t>4</w:t>
            </w:r>
          </w:p>
        </w:tc>
        <w:tc>
          <w:tcPr>
            <w:tcW w:w="8603" w:type="dxa"/>
            <w:vAlign w:val="center"/>
          </w:tcPr>
          <w:p>
            <w:pPr>
              <w:widowControl/>
              <w:snapToGrid w:val="0"/>
              <w:spacing w:line="340" w:lineRule="exact"/>
              <w:rPr>
                <w:rFonts w:ascii="宋体" w:hAnsi="宋体" w:cs="宋体"/>
                <w:sz w:val="24"/>
                <w:szCs w:val="24"/>
              </w:rPr>
            </w:pPr>
            <w:r>
              <w:rPr>
                <w:rFonts w:hint="eastAsia" w:ascii="宋体" w:hAnsi="宋体" w:cs="宋体"/>
                <w:sz w:val="24"/>
                <w:szCs w:val="24"/>
              </w:rPr>
              <w:t>拟投入主要人员配备表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7" w:type="dxa"/>
            <w:vAlign w:val="center"/>
          </w:tcPr>
          <w:p>
            <w:pPr>
              <w:snapToGrid w:val="0"/>
              <w:spacing w:line="340" w:lineRule="exact"/>
              <w:jc w:val="center"/>
              <w:rPr>
                <w:rFonts w:ascii="宋体" w:cs="宋体"/>
                <w:sz w:val="24"/>
                <w:szCs w:val="24"/>
              </w:rPr>
            </w:pPr>
            <w:r>
              <w:rPr>
                <w:rFonts w:hint="eastAsia" w:ascii="宋体" w:cs="宋体"/>
                <w:sz w:val="24"/>
                <w:szCs w:val="24"/>
              </w:rPr>
              <w:t>5</w:t>
            </w:r>
          </w:p>
        </w:tc>
        <w:tc>
          <w:tcPr>
            <w:tcW w:w="8603" w:type="dxa"/>
            <w:vAlign w:val="center"/>
          </w:tcPr>
          <w:p>
            <w:pPr>
              <w:widowControl/>
              <w:snapToGrid w:val="0"/>
              <w:spacing w:line="340" w:lineRule="exact"/>
              <w:rPr>
                <w:rFonts w:ascii="宋体" w:cs="宋体"/>
                <w:sz w:val="24"/>
                <w:szCs w:val="24"/>
              </w:rPr>
            </w:pPr>
            <w:r>
              <w:rPr>
                <w:rFonts w:hint="eastAsia" w:ascii="宋体" w:cs="宋体"/>
                <w:sz w:val="24"/>
                <w:szCs w:val="24"/>
              </w:rPr>
              <w:t>类似业绩一览表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7" w:type="dxa"/>
            <w:vAlign w:val="center"/>
          </w:tcPr>
          <w:p>
            <w:pPr>
              <w:snapToGrid w:val="0"/>
              <w:spacing w:line="340" w:lineRule="exact"/>
              <w:jc w:val="center"/>
              <w:rPr>
                <w:rFonts w:ascii="宋体" w:cs="宋体"/>
                <w:sz w:val="24"/>
                <w:szCs w:val="24"/>
              </w:rPr>
            </w:pPr>
            <w:r>
              <w:rPr>
                <w:rFonts w:hint="eastAsia" w:ascii="宋体" w:cs="宋体"/>
                <w:sz w:val="24"/>
                <w:szCs w:val="24"/>
              </w:rPr>
              <w:t>6</w:t>
            </w:r>
          </w:p>
        </w:tc>
        <w:tc>
          <w:tcPr>
            <w:tcW w:w="8603" w:type="dxa"/>
            <w:vAlign w:val="center"/>
          </w:tcPr>
          <w:p>
            <w:pPr>
              <w:widowControl/>
              <w:snapToGrid w:val="0"/>
              <w:spacing w:line="340" w:lineRule="exact"/>
              <w:rPr>
                <w:rFonts w:ascii="宋体" w:cs="宋体"/>
                <w:sz w:val="24"/>
                <w:szCs w:val="24"/>
              </w:rPr>
            </w:pPr>
            <w:r>
              <w:rPr>
                <w:rFonts w:hint="eastAsia" w:ascii="宋体" w:cs="宋体"/>
                <w:sz w:val="24"/>
                <w:szCs w:val="24"/>
              </w:rPr>
              <w:t>类似项目情况表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17" w:type="dxa"/>
            <w:vAlign w:val="center"/>
          </w:tcPr>
          <w:p>
            <w:pPr>
              <w:snapToGrid w:val="0"/>
              <w:spacing w:line="340" w:lineRule="exact"/>
              <w:jc w:val="center"/>
              <w:rPr>
                <w:rFonts w:ascii="宋体" w:cs="宋体"/>
                <w:sz w:val="24"/>
                <w:szCs w:val="24"/>
              </w:rPr>
            </w:pPr>
            <w:r>
              <w:rPr>
                <w:rFonts w:hint="eastAsia" w:ascii="宋体" w:cs="宋体"/>
                <w:sz w:val="24"/>
                <w:szCs w:val="24"/>
              </w:rPr>
              <w:t>7</w:t>
            </w:r>
          </w:p>
        </w:tc>
        <w:tc>
          <w:tcPr>
            <w:tcW w:w="8603" w:type="dxa"/>
            <w:vAlign w:val="center"/>
          </w:tcPr>
          <w:p>
            <w:pPr>
              <w:widowControl/>
              <w:snapToGrid w:val="0"/>
              <w:spacing w:line="340" w:lineRule="exact"/>
              <w:rPr>
                <w:rFonts w:ascii="宋体" w:cs="宋体"/>
                <w:sz w:val="24"/>
                <w:szCs w:val="24"/>
              </w:rPr>
            </w:pPr>
            <w:r>
              <w:rPr>
                <w:rFonts w:hint="eastAsia" w:ascii="宋体" w:cs="宋体"/>
                <w:sz w:val="24"/>
                <w:szCs w:val="24"/>
              </w:rPr>
              <w:t>技术商务偏离表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17" w:type="dxa"/>
            <w:vAlign w:val="center"/>
          </w:tcPr>
          <w:p>
            <w:pPr>
              <w:widowControl/>
              <w:snapToGrid w:val="0"/>
              <w:spacing w:line="340" w:lineRule="exact"/>
              <w:jc w:val="center"/>
              <w:rPr>
                <w:rFonts w:ascii="宋体" w:hAnsi="宋体" w:cs="宋体"/>
                <w:sz w:val="24"/>
                <w:szCs w:val="24"/>
              </w:rPr>
            </w:pPr>
            <w:r>
              <w:rPr>
                <w:rFonts w:hint="eastAsia" w:ascii="宋体" w:hAnsi="宋体" w:cs="宋体"/>
                <w:sz w:val="24"/>
                <w:szCs w:val="24"/>
              </w:rPr>
              <w:t>8</w:t>
            </w:r>
          </w:p>
        </w:tc>
        <w:tc>
          <w:tcPr>
            <w:tcW w:w="8603" w:type="dxa"/>
            <w:vAlign w:val="center"/>
          </w:tcPr>
          <w:p>
            <w:pPr>
              <w:widowControl/>
              <w:snapToGrid w:val="0"/>
              <w:spacing w:line="340" w:lineRule="exact"/>
              <w:rPr>
                <w:rFonts w:ascii="宋体" w:hAnsi="宋体" w:cs="宋体"/>
                <w:sz w:val="24"/>
                <w:szCs w:val="24"/>
              </w:rPr>
            </w:pPr>
            <w:r>
              <w:rPr>
                <w:rFonts w:hint="eastAsia" w:ascii="宋体" w:hAnsi="宋体" w:cs="宋体"/>
                <w:sz w:val="24"/>
                <w:szCs w:val="24"/>
              </w:rPr>
              <w:t>投标人认为需要提供的其他资料；包括可能影响投标人商务技术文件评分的各类证明材料</w:t>
            </w:r>
          </w:p>
        </w:tc>
      </w:tr>
    </w:tbl>
    <w:p>
      <w:pPr>
        <w:autoSpaceDE w:val="0"/>
        <w:autoSpaceDN w:val="0"/>
        <w:adjustRightInd w:val="0"/>
        <w:spacing w:line="360" w:lineRule="auto"/>
        <w:ind w:left="426" w:firstLine="64" w:firstLineChars="27"/>
        <w:rPr>
          <w:rFonts w:ascii="宋体" w:cs="宋体"/>
          <w:b/>
          <w:bCs/>
          <w:kern w:val="0"/>
          <w:sz w:val="24"/>
          <w:szCs w:val="24"/>
        </w:rPr>
      </w:pPr>
      <w:r>
        <w:rPr>
          <w:rFonts w:ascii="宋体" w:hAnsi="宋体" w:cs="宋体"/>
          <w:b/>
          <w:bCs/>
          <w:kern w:val="0"/>
          <w:sz w:val="24"/>
          <w:szCs w:val="24"/>
        </w:rPr>
        <w:t>3</w:t>
      </w:r>
      <w:r>
        <w:rPr>
          <w:rFonts w:hint="eastAsia" w:ascii="宋体" w:hAnsi="宋体" w:cs="宋体"/>
          <w:b/>
          <w:bCs/>
          <w:kern w:val="0"/>
          <w:sz w:val="24"/>
          <w:szCs w:val="24"/>
        </w:rPr>
        <w:t>、报价文件的组成</w:t>
      </w:r>
    </w:p>
    <w:tbl>
      <w:tblPr>
        <w:tblStyle w:val="20"/>
        <w:tblW w:w="9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4389"/>
        <w:gridCol w:w="4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trPr>
        <w:tc>
          <w:tcPr>
            <w:tcW w:w="822"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序号</w:t>
            </w:r>
          </w:p>
        </w:tc>
        <w:tc>
          <w:tcPr>
            <w:tcW w:w="4389"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内容</w:t>
            </w:r>
          </w:p>
        </w:tc>
        <w:tc>
          <w:tcPr>
            <w:tcW w:w="4209"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2" w:type="dxa"/>
            <w:vAlign w:val="center"/>
          </w:tcPr>
          <w:p>
            <w:pPr>
              <w:widowControl/>
              <w:snapToGrid w:val="0"/>
              <w:spacing w:line="340" w:lineRule="exact"/>
              <w:jc w:val="center"/>
              <w:rPr>
                <w:rFonts w:ascii="宋体" w:cs="宋体"/>
                <w:sz w:val="24"/>
                <w:szCs w:val="24"/>
              </w:rPr>
            </w:pPr>
            <w:r>
              <w:rPr>
                <w:rFonts w:ascii="宋体" w:hAnsi="宋体" w:cs="宋体"/>
                <w:sz w:val="24"/>
                <w:szCs w:val="24"/>
              </w:rPr>
              <w:t>1</w:t>
            </w:r>
          </w:p>
        </w:tc>
        <w:tc>
          <w:tcPr>
            <w:tcW w:w="4389" w:type="dxa"/>
            <w:vAlign w:val="center"/>
          </w:tcPr>
          <w:p>
            <w:pPr>
              <w:widowControl/>
              <w:snapToGrid w:val="0"/>
              <w:spacing w:line="340" w:lineRule="exact"/>
              <w:rPr>
                <w:rFonts w:ascii="宋体" w:cs="宋体"/>
                <w:kern w:val="0"/>
                <w:sz w:val="24"/>
                <w:szCs w:val="24"/>
              </w:rPr>
            </w:pPr>
            <w:r>
              <w:rPr>
                <w:rFonts w:hint="eastAsia" w:ascii="宋体" w:cs="宋体"/>
                <w:kern w:val="0"/>
                <w:sz w:val="24"/>
                <w:szCs w:val="24"/>
              </w:rPr>
              <w:t>投标函</w:t>
            </w:r>
          </w:p>
        </w:tc>
        <w:tc>
          <w:tcPr>
            <w:tcW w:w="4209" w:type="dxa"/>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2" w:type="dxa"/>
            <w:vAlign w:val="center"/>
          </w:tcPr>
          <w:p>
            <w:pPr>
              <w:widowControl/>
              <w:snapToGrid w:val="0"/>
              <w:spacing w:line="340" w:lineRule="exact"/>
              <w:jc w:val="center"/>
              <w:rPr>
                <w:rFonts w:ascii="宋体" w:cs="宋体"/>
                <w:sz w:val="24"/>
                <w:szCs w:val="24"/>
              </w:rPr>
            </w:pPr>
            <w:r>
              <w:rPr>
                <w:rFonts w:hint="eastAsia" w:ascii="宋体" w:hAnsi="宋体" w:cs="宋体"/>
                <w:sz w:val="24"/>
                <w:szCs w:val="24"/>
              </w:rPr>
              <w:t>2</w:t>
            </w:r>
          </w:p>
        </w:tc>
        <w:tc>
          <w:tcPr>
            <w:tcW w:w="4389" w:type="dxa"/>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开标一览表</w:t>
            </w:r>
          </w:p>
        </w:tc>
        <w:tc>
          <w:tcPr>
            <w:tcW w:w="4209" w:type="dxa"/>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2" w:type="dxa"/>
            <w:vAlign w:val="center"/>
          </w:tcPr>
          <w:p>
            <w:pPr>
              <w:widowControl/>
              <w:snapToGrid w:val="0"/>
              <w:spacing w:line="340" w:lineRule="exact"/>
              <w:jc w:val="center"/>
              <w:rPr>
                <w:rFonts w:ascii="宋体" w:hAnsi="宋体" w:cs="宋体"/>
                <w:sz w:val="24"/>
                <w:szCs w:val="24"/>
              </w:rPr>
            </w:pPr>
            <w:r>
              <w:rPr>
                <w:rFonts w:hint="eastAsia" w:ascii="宋体" w:hAnsi="宋体" w:cs="宋体"/>
                <w:sz w:val="24"/>
                <w:szCs w:val="24"/>
              </w:rPr>
              <w:t>3</w:t>
            </w:r>
          </w:p>
        </w:tc>
        <w:tc>
          <w:tcPr>
            <w:tcW w:w="4389" w:type="dxa"/>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投标报价明细表</w:t>
            </w:r>
          </w:p>
        </w:tc>
        <w:tc>
          <w:tcPr>
            <w:tcW w:w="4209" w:type="dxa"/>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2" w:type="dxa"/>
            <w:vAlign w:val="center"/>
          </w:tcPr>
          <w:p>
            <w:pPr>
              <w:widowControl/>
              <w:snapToGrid w:val="0"/>
              <w:spacing w:line="34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4</w:t>
            </w:r>
          </w:p>
        </w:tc>
        <w:tc>
          <w:tcPr>
            <w:tcW w:w="4389" w:type="dxa"/>
            <w:vAlign w:val="center"/>
          </w:tcPr>
          <w:p>
            <w:pPr>
              <w:widowControl/>
              <w:snapToGrid w:val="0"/>
              <w:spacing w:line="340" w:lineRule="exact"/>
              <w:rPr>
                <w:rFonts w:ascii="宋体" w:cs="宋体"/>
                <w:sz w:val="24"/>
                <w:szCs w:val="24"/>
              </w:rPr>
            </w:pPr>
            <w:r>
              <w:rPr>
                <w:rFonts w:hint="eastAsia" w:ascii="宋体" w:hAnsi="宋体" w:cs="宋体"/>
                <w:kern w:val="0"/>
                <w:sz w:val="24"/>
                <w:szCs w:val="24"/>
              </w:rPr>
              <w:t>投标人认为需要提供的</w:t>
            </w:r>
            <w:r>
              <w:rPr>
                <w:rFonts w:hint="eastAsia" w:ascii="宋体" w:hAnsi="宋体" w:cs="宋体"/>
                <w:kern w:val="0"/>
                <w:sz w:val="24"/>
                <w:szCs w:val="24"/>
                <w:lang w:eastAsia="zh-CN"/>
              </w:rPr>
              <w:t>其他</w:t>
            </w:r>
            <w:r>
              <w:rPr>
                <w:rFonts w:hint="eastAsia" w:ascii="宋体" w:hAnsi="宋体" w:cs="宋体"/>
                <w:kern w:val="0"/>
                <w:sz w:val="24"/>
                <w:szCs w:val="24"/>
              </w:rPr>
              <w:t>文件和资料</w:t>
            </w:r>
          </w:p>
        </w:tc>
        <w:tc>
          <w:tcPr>
            <w:tcW w:w="4209" w:type="dxa"/>
            <w:vAlign w:val="center"/>
          </w:tcPr>
          <w:p>
            <w:pPr>
              <w:widowControl/>
              <w:snapToGrid w:val="0"/>
              <w:spacing w:line="340" w:lineRule="exact"/>
              <w:rPr>
                <w:rFonts w:ascii="宋体" w:cs="宋体"/>
                <w:sz w:val="24"/>
                <w:szCs w:val="24"/>
              </w:rPr>
            </w:pPr>
            <w:r>
              <w:rPr>
                <w:rFonts w:hint="eastAsia" w:ascii="宋体" w:hAnsi="宋体" w:cs="宋体"/>
                <w:sz w:val="24"/>
                <w:szCs w:val="24"/>
              </w:rPr>
              <w:t>自行提供</w:t>
            </w:r>
          </w:p>
        </w:tc>
      </w:tr>
    </w:tbl>
    <w:p>
      <w:pPr>
        <w:spacing w:line="360" w:lineRule="exact"/>
        <w:rPr>
          <w:rFonts w:ascii="宋体" w:cs="宋体"/>
          <w:b/>
          <w:bCs/>
          <w:kern w:val="0"/>
          <w:sz w:val="24"/>
          <w:szCs w:val="24"/>
        </w:rPr>
      </w:pPr>
      <w:r>
        <w:rPr>
          <w:rFonts w:hint="eastAsia" w:ascii="宋体" w:hAnsi="宋体" w:cs="宋体"/>
          <w:b/>
          <w:bCs/>
          <w:kern w:val="0"/>
          <w:sz w:val="24"/>
          <w:szCs w:val="24"/>
        </w:rPr>
        <w:t>（三）投标文件的制作、封装及递交要求</w:t>
      </w:r>
    </w:p>
    <w:p>
      <w:pPr>
        <w:autoSpaceDE w:val="0"/>
        <w:autoSpaceDN w:val="0"/>
        <w:adjustRightInd w:val="0"/>
        <w:spacing w:line="360" w:lineRule="exact"/>
        <w:ind w:firstLine="480" w:firstLineChars="200"/>
        <w:rPr>
          <w:rFonts w:ascii="宋体" w:cs="宋体"/>
          <w:b/>
          <w:bCs/>
          <w:sz w:val="24"/>
          <w:szCs w:val="24"/>
        </w:rPr>
      </w:pPr>
      <w:r>
        <w:rPr>
          <w:rFonts w:ascii="宋体" w:hAnsi="宋体" w:cs="宋体"/>
          <w:b/>
          <w:bCs/>
          <w:sz w:val="24"/>
          <w:szCs w:val="24"/>
        </w:rPr>
        <w:t>1</w:t>
      </w:r>
      <w:r>
        <w:rPr>
          <w:rFonts w:hint="eastAsia" w:ascii="宋体" w:hAnsi="宋体" w:cs="宋体"/>
          <w:b/>
          <w:bCs/>
          <w:sz w:val="24"/>
          <w:szCs w:val="24"/>
        </w:rPr>
        <w:t>、投标文件的制作要求</w:t>
      </w:r>
    </w:p>
    <w:p>
      <w:pPr>
        <w:snapToGrid w:val="0"/>
        <w:spacing w:line="440" w:lineRule="exact"/>
        <w:ind w:firstLine="480" w:firstLineChars="200"/>
        <w:rPr>
          <w:rFonts w:ascii="宋体" w:hAnsi="宋体" w:cs="宋体"/>
          <w:kern w:val="0"/>
          <w:sz w:val="24"/>
          <w:szCs w:val="24"/>
          <w:lang w:val="zh-CN"/>
        </w:rPr>
      </w:pPr>
      <w:r>
        <w:rPr>
          <w:rFonts w:hint="eastAsia" w:ascii="宋体" w:hAnsi="宋体" w:cs="宋体"/>
          <w:kern w:val="0"/>
          <w:sz w:val="24"/>
          <w:szCs w:val="24"/>
          <w:lang w:val="zh-CN"/>
        </w:rPr>
        <w:t>（1）投标人应按照投标文件组成内容及项目采购需求制作投标文件，不按招标文件要求制作投标文件的将视情处理，责任由投标人自行承担。</w:t>
      </w:r>
    </w:p>
    <w:p>
      <w:pPr>
        <w:snapToGrid w:val="0"/>
        <w:spacing w:line="440" w:lineRule="exact"/>
        <w:ind w:firstLine="480" w:firstLineChars="200"/>
        <w:rPr>
          <w:rFonts w:ascii="宋体" w:hAnsi="宋体" w:cs="宋体"/>
          <w:kern w:val="0"/>
          <w:sz w:val="24"/>
          <w:szCs w:val="24"/>
        </w:rPr>
      </w:pPr>
      <w:r>
        <w:rPr>
          <w:rFonts w:hint="eastAsia" w:ascii="宋体" w:hAnsi="宋体" w:cs="宋体"/>
          <w:kern w:val="0"/>
          <w:sz w:val="24"/>
          <w:szCs w:val="24"/>
          <w:lang w:val="zh-CN"/>
        </w:rPr>
        <w:t>（2）投标人应对所提供的全部资料的真实性承担法律责任。</w:t>
      </w:r>
      <w:r>
        <w:rPr>
          <w:rFonts w:hint="eastAsia" w:ascii="宋体" w:hAnsi="宋体" w:cs="宋体"/>
          <w:kern w:val="0"/>
          <w:sz w:val="24"/>
          <w:szCs w:val="24"/>
        </w:rPr>
        <w:t xml:space="preserve">     </w:t>
      </w:r>
    </w:p>
    <w:p>
      <w:pPr>
        <w:snapToGrid w:val="0"/>
        <w:spacing w:line="440" w:lineRule="exact"/>
        <w:ind w:firstLine="480" w:firstLineChars="200"/>
        <w:rPr>
          <w:rFonts w:ascii="宋体" w:hAnsi="宋体" w:cs="宋体"/>
          <w:kern w:val="0"/>
          <w:sz w:val="24"/>
          <w:szCs w:val="24"/>
          <w:lang w:val="zh-CN"/>
        </w:rPr>
      </w:pPr>
      <w:r>
        <w:rPr>
          <w:rFonts w:hint="eastAsia" w:ascii="宋体" w:hAnsi="宋体" w:cs="宋体"/>
          <w:kern w:val="0"/>
          <w:sz w:val="24"/>
          <w:szCs w:val="24"/>
          <w:lang w:val="zh-CN"/>
        </w:rPr>
        <w:t>（3）投标文件以及投标人与采购代理机构就有关投标事宜的所有来往函电，均应以中文汉语书写。除签字、盖章、专用名称等特殊情形外，以中文汉语以外的文字表述的投标文件视同未提供。</w:t>
      </w:r>
    </w:p>
    <w:p>
      <w:pPr>
        <w:snapToGrid w:val="0"/>
        <w:spacing w:line="440" w:lineRule="exact"/>
        <w:ind w:firstLine="480" w:firstLineChars="200"/>
        <w:rPr>
          <w:rFonts w:ascii="宋体" w:hAnsi="宋体" w:cs="宋体"/>
          <w:kern w:val="0"/>
          <w:sz w:val="24"/>
          <w:szCs w:val="24"/>
          <w:lang w:val="zh-CN"/>
        </w:rPr>
      </w:pPr>
      <w:r>
        <w:rPr>
          <w:rFonts w:hint="eastAsia" w:ascii="宋体" w:hAnsi="宋体" w:cs="宋体"/>
          <w:kern w:val="0"/>
          <w:sz w:val="24"/>
          <w:szCs w:val="24"/>
          <w:lang w:val="zh-CN"/>
        </w:rPr>
        <w:t>（4）投标计量单位，招标文件已有明确规定的，使用招标文件规定的计量单位；招标文件没有规定的，应采用中华人民共和国法定计量单位（货币单位：人民币元）。</w:t>
      </w:r>
    </w:p>
    <w:p>
      <w:pPr>
        <w:snapToGrid w:val="0"/>
        <w:spacing w:line="440" w:lineRule="exact"/>
        <w:ind w:firstLine="480" w:firstLineChars="200"/>
        <w:rPr>
          <w:rFonts w:ascii="宋体" w:hAnsi="宋体" w:cs="宋体"/>
          <w:kern w:val="0"/>
          <w:sz w:val="24"/>
          <w:szCs w:val="24"/>
          <w:lang w:val="zh-CN"/>
        </w:rPr>
      </w:pPr>
      <w:r>
        <w:rPr>
          <w:rFonts w:hint="eastAsia" w:ascii="宋体" w:hAnsi="宋体" w:cs="宋体"/>
          <w:kern w:val="0"/>
          <w:sz w:val="24"/>
          <w:szCs w:val="24"/>
          <w:lang w:val="zh-CN"/>
        </w:rPr>
        <w:t>（5）若投标人不按招标文件的要求提供资格审查材料，其责任由投标人自行承担。</w:t>
      </w:r>
    </w:p>
    <w:p>
      <w:pPr>
        <w:snapToGrid w:val="0"/>
        <w:spacing w:line="440" w:lineRule="exact"/>
        <w:ind w:firstLine="480" w:firstLineChars="200"/>
        <w:rPr>
          <w:rFonts w:ascii="宋体" w:hAnsi="宋体" w:cs="宋体"/>
          <w:kern w:val="0"/>
          <w:sz w:val="24"/>
          <w:szCs w:val="24"/>
          <w:lang w:val="zh-CN"/>
        </w:rPr>
      </w:pPr>
      <w:r>
        <w:rPr>
          <w:rFonts w:hint="eastAsia" w:ascii="宋体" w:hAnsi="宋体" w:cs="宋体"/>
          <w:kern w:val="0"/>
          <w:sz w:val="24"/>
          <w:szCs w:val="24"/>
          <w:lang w:val="zh-CN"/>
        </w:rPr>
        <w:t>（6）投标人应在认真阅读招标文件所有内容的基础上，按照招标文件的要求编制完整的投标文件。投标文件应按照招标文件中规定的统一格式填写：（1）“电子加密投标文件”按政采云平台供应商项目采购－电子招投标操作指南（网址：https://help.zcy.gov.cn/web/site_2/2018/12-28/2573.html）及本招标文件要求制作、关联定位、加密。</w:t>
      </w:r>
    </w:p>
    <w:p>
      <w:pPr>
        <w:autoSpaceDE w:val="0"/>
        <w:autoSpaceDN w:val="0"/>
        <w:adjustRightInd w:val="0"/>
        <w:spacing w:line="360" w:lineRule="auto"/>
        <w:ind w:firstLine="480" w:firstLineChars="200"/>
        <w:rPr>
          <w:rFonts w:ascii="宋体" w:hAnsi="宋体" w:cs="宋体"/>
          <w:b/>
          <w:bCs/>
          <w:sz w:val="24"/>
          <w:szCs w:val="24"/>
          <w:lang w:val="zh-CN"/>
        </w:rPr>
      </w:pPr>
      <w:r>
        <w:rPr>
          <w:rFonts w:hint="eastAsia" w:ascii="宋体" w:hAnsi="宋体" w:cs="宋体"/>
          <w:b/>
          <w:bCs/>
          <w:sz w:val="24"/>
          <w:szCs w:val="24"/>
        </w:rPr>
        <w:t>2、</w:t>
      </w:r>
      <w:r>
        <w:rPr>
          <w:rFonts w:hint="eastAsia" w:ascii="宋体" w:hAnsi="宋体" w:cs="宋体"/>
          <w:b/>
          <w:bCs/>
          <w:sz w:val="24"/>
          <w:szCs w:val="24"/>
          <w:lang w:val="zh-CN"/>
        </w:rPr>
        <w:t>投标文件的编制、签署、份数</w:t>
      </w:r>
    </w:p>
    <w:p>
      <w:pPr>
        <w:autoSpaceDE w:val="0"/>
        <w:autoSpaceDN w:val="0"/>
        <w:adjustRightInd w:val="0"/>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rPr>
        <w:t>1</w:t>
      </w:r>
      <w:r>
        <w:rPr>
          <w:rFonts w:hint="eastAsia" w:ascii="宋体" w:hAnsi="宋体" w:cs="宋体"/>
          <w:kern w:val="0"/>
          <w:sz w:val="24"/>
          <w:szCs w:val="24"/>
          <w:lang w:val="zh-CN"/>
        </w:rPr>
        <w:t>）投标文件包括“资格证明文件”、“商务技术文件”和“报价文件”三部分。投标人应按“政府采购云平台”供应商项目采购－电子招投标操作指南（网址：</w:t>
      </w:r>
      <w:r>
        <w:fldChar w:fldCharType="begin"/>
      </w:r>
      <w:r>
        <w:instrText xml:space="preserve"> HYPERLINK "https://help.zcy.gov.cn/web/site_2/2018/12-28/2573.html）及本采购文件要求制作" </w:instrText>
      </w:r>
      <w:r>
        <w:fldChar w:fldCharType="separate"/>
      </w:r>
      <w:r>
        <w:rPr>
          <w:rFonts w:hint="eastAsia"/>
          <w:lang w:val="zh-CN"/>
        </w:rPr>
        <w:t>https://help.zcy.gov.cn/web/site_2/2018/12-28/2573.html</w:t>
      </w:r>
      <w:r>
        <w:rPr>
          <w:rFonts w:hint="eastAsia" w:ascii="宋体" w:hAnsi="宋体" w:cs="宋体"/>
          <w:kern w:val="0"/>
          <w:sz w:val="24"/>
          <w:szCs w:val="24"/>
          <w:lang w:val="zh-CN"/>
        </w:rPr>
        <w:t>）及本招标文件要求制作</w:t>
      </w:r>
      <w:r>
        <w:rPr>
          <w:rFonts w:hint="eastAsia" w:ascii="宋体" w:hAnsi="宋体" w:cs="宋体"/>
          <w:kern w:val="0"/>
          <w:sz w:val="24"/>
          <w:szCs w:val="24"/>
          <w:lang w:val="zh-CN"/>
        </w:rPr>
        <w:fldChar w:fldCharType="end"/>
      </w:r>
      <w:r>
        <w:rPr>
          <w:rFonts w:hint="eastAsia" w:ascii="宋体" w:hAnsi="宋体" w:cs="宋体"/>
          <w:kern w:val="0"/>
          <w:sz w:val="24"/>
          <w:szCs w:val="24"/>
          <w:lang w:val="zh-CN"/>
        </w:rPr>
        <w:t>。</w:t>
      </w:r>
    </w:p>
    <w:p>
      <w:pPr>
        <w:autoSpaceDE w:val="0"/>
        <w:autoSpaceDN w:val="0"/>
        <w:adjustRightInd w:val="0"/>
        <w:spacing w:line="360" w:lineRule="auto"/>
        <w:ind w:firstLine="480" w:firstLineChars="200"/>
        <w:rPr>
          <w:rFonts w:ascii="宋体" w:hAnsi="宋体" w:cs="宋体"/>
          <w:b/>
          <w:bCs/>
          <w:kern w:val="0"/>
          <w:sz w:val="24"/>
          <w:szCs w:val="24"/>
          <w:lang w:val="zh-CN"/>
        </w:rPr>
      </w:pPr>
      <w:r>
        <w:rPr>
          <w:rFonts w:hint="eastAsia" w:ascii="宋体" w:hAnsi="宋体" w:cs="宋体"/>
          <w:b/>
          <w:bCs/>
          <w:kern w:val="0"/>
          <w:sz w:val="24"/>
          <w:szCs w:val="24"/>
        </w:rPr>
        <w:t>（2）</w:t>
      </w:r>
      <w:r>
        <w:rPr>
          <w:rFonts w:hint="eastAsia" w:ascii="宋体" w:hAnsi="宋体" w:cs="宋体"/>
          <w:b/>
          <w:bCs/>
          <w:kern w:val="0"/>
          <w:sz w:val="24"/>
          <w:szCs w:val="24"/>
          <w:lang w:val="zh-CN"/>
        </w:rPr>
        <w:t>签署：投标文件中所须加盖公章部分均应当采用CA电子签章功能加盖投标人的单位电子公章，法定代表人和授权代表签字或盖章可书面签字或盖章后扫描至“电子加密投标文件”中上传，也可采用法定代表人的电子章。</w:t>
      </w:r>
    </w:p>
    <w:p>
      <w:pPr>
        <w:autoSpaceDE w:val="0"/>
        <w:autoSpaceDN w:val="0"/>
        <w:adjustRightInd w:val="0"/>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rPr>
        <w:t>3</w:t>
      </w:r>
      <w:r>
        <w:rPr>
          <w:rFonts w:hint="eastAsia" w:ascii="宋体" w:hAnsi="宋体" w:cs="宋体"/>
          <w:kern w:val="0"/>
          <w:sz w:val="24"/>
          <w:szCs w:val="24"/>
          <w:lang w:val="zh-CN"/>
        </w:rPr>
        <w:t>）份数：</w:t>
      </w:r>
    </w:p>
    <w:p>
      <w:pPr>
        <w:autoSpaceDE w:val="0"/>
        <w:autoSpaceDN w:val="0"/>
        <w:adjustRightInd w:val="0"/>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rPr>
        <w:t>3.1</w:t>
      </w:r>
      <w:r>
        <w:rPr>
          <w:rFonts w:hint="eastAsia" w:ascii="宋体" w:hAnsi="宋体" w:cs="宋体"/>
          <w:kern w:val="0"/>
          <w:sz w:val="24"/>
          <w:szCs w:val="24"/>
          <w:lang w:val="zh-CN"/>
        </w:rPr>
        <w:t>“电子加密投标文件”（后缀格式为.jmbs）：在线上传递交一份。</w:t>
      </w:r>
    </w:p>
    <w:p>
      <w:pPr>
        <w:autoSpaceDE w:val="0"/>
        <w:autoSpaceDN w:val="0"/>
        <w:adjustRightInd w:val="0"/>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rPr>
        <w:t>3.2</w:t>
      </w:r>
      <w:r>
        <w:rPr>
          <w:rFonts w:hint="eastAsia" w:ascii="宋体" w:hAnsi="宋体" w:cs="宋体"/>
          <w:kern w:val="0"/>
          <w:sz w:val="24"/>
          <w:szCs w:val="24"/>
          <w:lang w:val="zh-CN"/>
        </w:rPr>
        <w:t>“备份投标文件”（后缀格式为.bfbs）：发送一份至邮箱：</w:t>
      </w:r>
      <w:r>
        <w:rPr>
          <w:rFonts w:hint="eastAsia" w:ascii="宋体" w:hAnsi="宋体" w:cs="宋体"/>
          <w:kern w:val="0"/>
          <w:sz w:val="24"/>
          <w:szCs w:val="24"/>
        </w:rPr>
        <w:t>61692137@qq.com</w:t>
      </w:r>
      <w:r>
        <w:rPr>
          <w:rFonts w:hint="eastAsia" w:ascii="宋体" w:hAnsi="宋体" w:cs="宋体"/>
          <w:kern w:val="0"/>
          <w:sz w:val="24"/>
          <w:szCs w:val="24"/>
          <w:lang w:val="zh-CN"/>
        </w:rPr>
        <w:t>，以接收方邮箱收件箱所显示时间为准。</w:t>
      </w:r>
    </w:p>
    <w:p>
      <w:pPr>
        <w:autoSpaceDE w:val="0"/>
        <w:autoSpaceDN w:val="0"/>
        <w:adjustRightInd w:val="0"/>
        <w:spacing w:line="360" w:lineRule="auto"/>
        <w:ind w:firstLine="480" w:firstLineChars="200"/>
        <w:rPr>
          <w:rFonts w:ascii="宋体"/>
          <w:b/>
          <w:bCs/>
          <w:sz w:val="24"/>
          <w:szCs w:val="24"/>
        </w:rPr>
      </w:pPr>
      <w:r>
        <w:rPr>
          <w:rFonts w:ascii="宋体" w:hAnsi="宋体" w:cs="宋体"/>
          <w:b/>
          <w:bCs/>
          <w:sz w:val="24"/>
          <w:szCs w:val="24"/>
        </w:rPr>
        <w:t>3</w:t>
      </w:r>
      <w:r>
        <w:rPr>
          <w:rFonts w:hint="eastAsia" w:ascii="宋体" w:hAnsi="宋体" w:cs="宋体"/>
          <w:b/>
          <w:bCs/>
          <w:sz w:val="24"/>
          <w:szCs w:val="24"/>
        </w:rPr>
        <w:t>、投标文件的递交要求</w:t>
      </w:r>
    </w:p>
    <w:p>
      <w:pPr>
        <w:tabs>
          <w:tab w:val="left" w:pos="1418"/>
        </w:tabs>
        <w:autoSpaceDE w:val="0"/>
        <w:autoSpaceDN w:val="0"/>
        <w:adjustRightIn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）投标人应当在招标文件规定的截止时间前完成“电子加密投标文件”及“备份投标文件”的递交，截止时间后递交的投标文件，将被拒收。</w:t>
      </w:r>
    </w:p>
    <w:p>
      <w:pPr>
        <w:tabs>
          <w:tab w:val="left" w:pos="1418"/>
        </w:tabs>
        <w:autoSpaceDE w:val="0"/>
        <w:autoSpaceDN w:val="0"/>
        <w:adjustRightInd w:val="0"/>
        <w:spacing w:line="360" w:lineRule="auto"/>
        <w:ind w:firstLine="480" w:firstLineChars="200"/>
        <w:rPr>
          <w:rFonts w:ascii="宋体" w:cs="宋体"/>
          <w:kern w:val="0"/>
          <w:sz w:val="24"/>
          <w:szCs w:val="24"/>
        </w:rPr>
      </w:pPr>
      <w:r>
        <w:rPr>
          <w:rFonts w:hint="eastAsia" w:ascii="宋体" w:hAnsi="宋体" w:cs="宋体"/>
          <w:kern w:val="0"/>
          <w:sz w:val="24"/>
          <w:szCs w:val="24"/>
        </w:rPr>
        <w:t>（2）如有特殊情况，采购代理机构延长截止时间和开标时间，采购代理机构和投标人的权利和义务将受到新的截止时间和开标时间的约束。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宋体"/>
          <w:b/>
          <w:bCs/>
          <w:sz w:val="24"/>
          <w:szCs w:val="24"/>
        </w:rPr>
      </w:pPr>
      <w:r>
        <w:rPr>
          <w:rFonts w:ascii="宋体" w:hAnsi="宋体" w:cs="宋体"/>
          <w:b/>
          <w:bCs/>
          <w:sz w:val="24"/>
          <w:szCs w:val="24"/>
        </w:rPr>
        <w:t>4</w:t>
      </w:r>
      <w:r>
        <w:rPr>
          <w:rFonts w:hint="eastAsia" w:ascii="宋体" w:hAnsi="宋体" w:cs="宋体"/>
          <w:b/>
          <w:bCs/>
          <w:sz w:val="24"/>
          <w:szCs w:val="24"/>
        </w:rPr>
        <w:t>、投标文件的补充、修改和撤回</w:t>
      </w:r>
    </w:p>
    <w:p>
      <w:pPr>
        <w:tabs>
          <w:tab w:val="left" w:pos="1418"/>
        </w:tabs>
        <w:autoSpaceDE w:val="0"/>
        <w:autoSpaceDN w:val="0"/>
        <w:adjustRightIn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（1）投标人在投标截止时间前可以补充、修改或撤回投标文件。补充或者修改投标文件的，应当先行撤回原文件，补充、修改后重新递交。投标截止时间前未完成递交的，视为撤回投标文件。</w:t>
      </w:r>
    </w:p>
    <w:p>
      <w:pPr>
        <w:tabs>
          <w:tab w:val="left" w:pos="1418"/>
        </w:tabs>
        <w:autoSpaceDE w:val="0"/>
        <w:autoSpaceDN w:val="0"/>
        <w:adjustRightIn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（2）投标截止时间后，投标人不得修改（补充）或撤回其投标文件。</w:t>
      </w:r>
    </w:p>
    <w:p>
      <w:pPr>
        <w:tabs>
          <w:tab w:val="left" w:pos="1898"/>
        </w:tabs>
        <w:autoSpaceDE w:val="0"/>
        <w:autoSpaceDN w:val="0"/>
        <w:adjustRightInd w:val="0"/>
        <w:spacing w:line="360" w:lineRule="auto"/>
        <w:ind w:firstLine="480" w:firstLineChars="200"/>
        <w:rPr>
          <w:rFonts w:ascii="宋体" w:hAnsi="宋体" w:cs="宋体"/>
          <w:b/>
          <w:bCs/>
          <w:sz w:val="24"/>
          <w:szCs w:val="24"/>
        </w:rPr>
      </w:pPr>
      <w:r>
        <w:rPr>
          <w:rFonts w:hint="eastAsia" w:ascii="宋体" w:hAnsi="宋体" w:cs="宋体"/>
          <w:b/>
          <w:bCs/>
          <w:sz w:val="24"/>
          <w:szCs w:val="24"/>
        </w:rPr>
        <w:t>5、电子加密投标文件的解密及异常情况处理</w:t>
      </w:r>
    </w:p>
    <w:p>
      <w:pPr>
        <w:autoSpaceDE w:val="0"/>
        <w:autoSpaceDN w:val="0"/>
        <w:adjustRightInd w:val="0"/>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rPr>
        <w:t>（1）</w:t>
      </w:r>
      <w:r>
        <w:rPr>
          <w:rFonts w:hint="eastAsia" w:ascii="宋体" w:hAnsi="宋体" w:cs="宋体"/>
          <w:kern w:val="0"/>
          <w:sz w:val="24"/>
          <w:szCs w:val="24"/>
          <w:lang w:val="zh-CN"/>
        </w:rPr>
        <w:t>开标后，采购代理机构将向各投标人发出“电子加密投标文件”的解密通知，各供应商代表应当在接到解密通知后</w:t>
      </w:r>
      <w:r>
        <w:rPr>
          <w:rFonts w:hint="eastAsia" w:ascii="宋体" w:hAnsi="宋体" w:cs="宋体"/>
          <w:kern w:val="0"/>
          <w:sz w:val="24"/>
          <w:szCs w:val="24"/>
        </w:rPr>
        <w:t>30分钟</w:t>
      </w:r>
      <w:r>
        <w:rPr>
          <w:rFonts w:hint="eastAsia" w:ascii="宋体" w:hAnsi="宋体" w:cs="宋体"/>
          <w:kern w:val="0"/>
          <w:sz w:val="24"/>
          <w:szCs w:val="24"/>
          <w:lang w:val="zh-CN"/>
        </w:rPr>
        <w:t>内自行完成“电子加密投标文件”的在线解密。</w:t>
      </w:r>
    </w:p>
    <w:p>
      <w:pPr>
        <w:autoSpaceDE w:val="0"/>
        <w:autoSpaceDN w:val="0"/>
        <w:adjustRightInd w:val="0"/>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rPr>
        <w:t>2</w:t>
      </w:r>
      <w:r>
        <w:rPr>
          <w:rFonts w:hint="eastAsia" w:ascii="宋体" w:hAnsi="宋体" w:cs="宋体"/>
          <w:kern w:val="0"/>
          <w:sz w:val="24"/>
          <w:szCs w:val="24"/>
          <w:lang w:val="zh-CN"/>
        </w:rPr>
        <w:t>）因网络或者其他问题造成“电子加密投标文件”在规定时间内无法正常解密的，投标人提供了“备份投标文件”的，将由采购代理机构按“政府采购云平台”操作规范将“备份投标文件”上传至“政府采购云平台”，完成解密。</w:t>
      </w:r>
    </w:p>
    <w:p>
      <w:pPr>
        <w:autoSpaceDE w:val="0"/>
        <w:autoSpaceDN w:val="0"/>
        <w:adjustRightInd w:val="0"/>
        <w:spacing w:line="360" w:lineRule="auto"/>
        <w:ind w:firstLine="480" w:firstLineChars="200"/>
      </w:pPr>
      <w:r>
        <w:rPr>
          <w:rFonts w:hint="eastAsia" w:ascii="宋体" w:hAnsi="宋体" w:cs="宋体"/>
          <w:kern w:val="0"/>
          <w:sz w:val="24"/>
          <w:szCs w:val="24"/>
          <w:lang w:val="zh-CN"/>
        </w:rPr>
        <w:t>（</w:t>
      </w:r>
      <w:r>
        <w:rPr>
          <w:rFonts w:hint="eastAsia" w:ascii="宋体" w:hAnsi="宋体" w:cs="宋体"/>
          <w:kern w:val="0"/>
          <w:sz w:val="24"/>
          <w:szCs w:val="24"/>
        </w:rPr>
        <w:t>3</w:t>
      </w:r>
      <w:r>
        <w:rPr>
          <w:rFonts w:hint="eastAsia" w:ascii="宋体" w:hAnsi="宋体" w:cs="宋体"/>
          <w:kern w:val="0"/>
          <w:sz w:val="24"/>
          <w:szCs w:val="24"/>
          <w:lang w:val="zh-CN"/>
        </w:rPr>
        <w:t>）投标人未在规定时间内完成解密且未提供“备份投标文件”的，默认投标人自动放弃。</w:t>
      </w:r>
    </w:p>
    <w:p>
      <w:pPr>
        <w:tabs>
          <w:tab w:val="left" w:pos="0"/>
        </w:tabs>
        <w:autoSpaceDE w:val="0"/>
        <w:autoSpaceDN w:val="0"/>
        <w:adjustRightInd w:val="0"/>
        <w:spacing w:line="360" w:lineRule="auto"/>
        <w:ind w:firstLine="240" w:firstLineChars="100"/>
        <w:rPr>
          <w:rFonts w:ascii="宋体" w:cs="宋体"/>
          <w:b/>
          <w:bCs/>
          <w:kern w:val="0"/>
          <w:sz w:val="24"/>
          <w:szCs w:val="24"/>
        </w:rPr>
      </w:pPr>
      <w:r>
        <w:rPr>
          <w:rFonts w:hint="eastAsia" w:ascii="宋体" w:hAnsi="宋体" w:cs="宋体"/>
          <w:b/>
          <w:bCs/>
          <w:kern w:val="0"/>
          <w:sz w:val="24"/>
          <w:szCs w:val="24"/>
        </w:rPr>
        <w:t>（四）投标文件的有效期</w:t>
      </w:r>
    </w:p>
    <w:p>
      <w:pPr>
        <w:pStyle w:val="8"/>
        <w:numPr>
          <w:ilvl w:val="0"/>
          <w:numId w:val="0"/>
        </w:numPr>
        <w:tabs>
          <w:tab w:val="left" w:pos="0"/>
          <w:tab w:val="clear" w:pos="1070"/>
        </w:tabs>
        <w:snapToGrid w:val="0"/>
        <w:spacing w:line="360" w:lineRule="auto"/>
        <w:ind w:firstLine="480" w:firstLineChars="200"/>
        <w:rPr>
          <w:rFonts w:ascii="仿宋_GB2312" w:hAnsi="仿宋_GB2312" w:eastAsia="仿宋_GB2312"/>
          <w:sz w:val="24"/>
          <w:szCs w:val="24"/>
          <w:lang w:val="en-GB"/>
        </w:rPr>
      </w:pPr>
      <w:r>
        <w:rPr>
          <w:rFonts w:ascii="宋体" w:hAnsi="宋体" w:cs="宋体"/>
          <w:sz w:val="24"/>
          <w:szCs w:val="24"/>
          <w:lang w:val="en-GB"/>
        </w:rPr>
        <w:t>1</w:t>
      </w:r>
      <w:r>
        <w:rPr>
          <w:rFonts w:hint="eastAsia" w:ascii="宋体" w:hAnsi="宋体" w:cs="宋体"/>
          <w:sz w:val="24"/>
          <w:szCs w:val="24"/>
          <w:lang w:val="en-GB"/>
        </w:rPr>
        <w:t>、自投标截止日起</w:t>
      </w:r>
      <w:r>
        <w:rPr>
          <w:rFonts w:ascii="宋体" w:hAnsi="宋体" w:cs="宋体"/>
          <w:sz w:val="24"/>
          <w:szCs w:val="24"/>
          <w:lang w:val="en-GB"/>
        </w:rPr>
        <w:t>90</w:t>
      </w:r>
      <w:r>
        <w:rPr>
          <w:rFonts w:hint="eastAsia" w:ascii="宋体" w:hAnsi="宋体" w:cs="宋体"/>
          <w:sz w:val="24"/>
          <w:szCs w:val="24"/>
          <w:lang w:val="en-GB"/>
        </w:rPr>
        <w:t>天投标文件应保持有效。有效期不足的投标文件将被拒绝。</w:t>
      </w:r>
    </w:p>
    <w:p>
      <w:pPr>
        <w:pStyle w:val="8"/>
        <w:numPr>
          <w:ilvl w:val="0"/>
          <w:numId w:val="0"/>
        </w:numPr>
        <w:tabs>
          <w:tab w:val="left" w:pos="0"/>
          <w:tab w:val="clear" w:pos="1070"/>
        </w:tabs>
        <w:snapToGrid w:val="0"/>
        <w:spacing w:line="360" w:lineRule="auto"/>
        <w:ind w:firstLine="480" w:firstLineChars="200"/>
        <w:rPr>
          <w:rFonts w:ascii="宋体" w:hAnsi="宋体" w:cs="宋体"/>
          <w:sz w:val="24"/>
          <w:szCs w:val="24"/>
          <w:lang w:val="en-GB"/>
        </w:rPr>
      </w:pPr>
      <w:r>
        <w:rPr>
          <w:rFonts w:ascii="宋体" w:hAnsi="宋体" w:cs="宋体"/>
          <w:sz w:val="24"/>
          <w:szCs w:val="24"/>
          <w:lang w:val="en-GB"/>
        </w:rPr>
        <w:t>2</w:t>
      </w:r>
      <w:r>
        <w:rPr>
          <w:rFonts w:hint="eastAsia" w:ascii="宋体" w:hAnsi="宋体" w:cs="宋体"/>
          <w:sz w:val="24"/>
          <w:szCs w:val="24"/>
          <w:lang w:val="en-GB"/>
        </w:rPr>
        <w:t>、在特殊情况下，采购人可与投标人协商延长投标文件的有效期，这种要求和答复均以书面形式进行。</w:t>
      </w:r>
    </w:p>
    <w:p>
      <w:pPr>
        <w:snapToGrid w:val="0"/>
        <w:spacing w:line="360" w:lineRule="auto"/>
        <w:ind w:firstLine="480" w:firstLineChars="200"/>
        <w:jc w:val="left"/>
        <w:outlineLvl w:val="0"/>
        <w:rPr>
          <w:rFonts w:ascii="宋体" w:cs="宋体"/>
          <w:b/>
          <w:bCs/>
          <w:sz w:val="24"/>
          <w:szCs w:val="24"/>
        </w:rPr>
      </w:pPr>
      <w:bookmarkStart w:id="12" w:name="_Toc17741"/>
      <w:r>
        <w:rPr>
          <w:rFonts w:ascii="宋体" w:hAnsi="宋体" w:cs="宋体"/>
          <w:sz w:val="24"/>
          <w:szCs w:val="24"/>
        </w:rPr>
        <w:t>3</w:t>
      </w:r>
      <w:r>
        <w:rPr>
          <w:rFonts w:hint="eastAsia" w:ascii="宋体" w:hAnsi="宋体" w:cs="宋体"/>
          <w:sz w:val="24"/>
          <w:szCs w:val="24"/>
        </w:rPr>
        <w:t>、中标人的投标文件自开标之日起至合同履行完毕均应保持有效。</w:t>
      </w:r>
      <w:bookmarkEnd w:id="12"/>
    </w:p>
    <w:p>
      <w:pPr>
        <w:snapToGrid w:val="0"/>
        <w:spacing w:line="360" w:lineRule="auto"/>
        <w:jc w:val="center"/>
        <w:rPr>
          <w:rFonts w:ascii="宋体" w:cs="宋体"/>
          <w:b/>
          <w:bCs/>
          <w:sz w:val="28"/>
          <w:szCs w:val="28"/>
        </w:rPr>
      </w:pPr>
    </w:p>
    <w:p>
      <w:pPr>
        <w:snapToGrid w:val="0"/>
        <w:spacing w:line="360" w:lineRule="auto"/>
        <w:jc w:val="center"/>
        <w:rPr>
          <w:rFonts w:ascii="宋体" w:cs="宋体"/>
          <w:b/>
          <w:bCs/>
          <w:sz w:val="28"/>
          <w:szCs w:val="28"/>
        </w:rPr>
      </w:pPr>
      <w:r>
        <w:rPr>
          <w:rFonts w:hint="eastAsia" w:ascii="宋体" w:hAnsi="宋体" w:cs="宋体"/>
          <w:b/>
          <w:bCs/>
          <w:sz w:val="28"/>
          <w:szCs w:val="28"/>
        </w:rPr>
        <w:t>四、开标</w:t>
      </w:r>
    </w:p>
    <w:p>
      <w:pPr>
        <w:numPr>
          <w:ilvl w:val="0"/>
          <w:numId w:val="4"/>
        </w:numPr>
        <w:autoSpaceDE w:val="0"/>
        <w:autoSpaceDN w:val="0"/>
        <w:adjustRightInd w:val="0"/>
        <w:spacing w:line="360" w:lineRule="auto"/>
        <w:ind w:firstLine="480" w:firstLineChars="200"/>
        <w:rPr>
          <w:rFonts w:ascii="宋体" w:hAnsi="宋体" w:cs="宋体"/>
          <w:b/>
          <w:bCs/>
          <w:sz w:val="24"/>
          <w:szCs w:val="24"/>
        </w:rPr>
      </w:pPr>
      <w:r>
        <w:rPr>
          <w:rFonts w:hint="eastAsia" w:ascii="宋体" w:hAnsi="宋体" w:cs="宋体"/>
          <w:b/>
          <w:bCs/>
          <w:sz w:val="24"/>
          <w:szCs w:val="24"/>
        </w:rPr>
        <w:t>开标程序</w:t>
      </w:r>
    </w:p>
    <w:p>
      <w:pPr>
        <w:spacing w:line="360" w:lineRule="auto"/>
        <w:ind w:firstLine="422" w:firstLineChars="176"/>
        <w:rPr>
          <w:rFonts w:ascii="宋体" w:hAnsi="宋体" w:cs="Arial"/>
          <w:kern w:val="0"/>
          <w:sz w:val="24"/>
        </w:rPr>
      </w:pPr>
      <w:r>
        <w:rPr>
          <w:rFonts w:hint="eastAsia" w:ascii="宋体" w:hAnsi="宋体" w:cs="宋体"/>
          <w:sz w:val="24"/>
          <w:szCs w:val="24"/>
        </w:rPr>
        <w:t>1、</w:t>
      </w:r>
      <w:r>
        <w:rPr>
          <w:rFonts w:hint="eastAsia" w:ascii="宋体" w:hAnsi="宋体"/>
          <w:b/>
          <w:sz w:val="24"/>
        </w:rPr>
        <w:t>采购组织机构将按照招标文件规定的时间通过“政府采购云平台”组织开标、开启投标文件，所有供应商均应当准时在线参加。</w:t>
      </w:r>
      <w:r>
        <w:rPr>
          <w:rFonts w:hint="eastAsia" w:ascii="宋体" w:hAnsi="宋体" w:cs="Arial"/>
          <w:b/>
          <w:kern w:val="0"/>
          <w:sz w:val="24"/>
        </w:rPr>
        <w:t>投标供应商</w:t>
      </w:r>
      <w:r>
        <w:rPr>
          <w:rFonts w:ascii="宋体" w:hAnsi="宋体" w:cs="Arial"/>
          <w:b/>
          <w:kern w:val="0"/>
          <w:sz w:val="24"/>
        </w:rPr>
        <w:t>如不</w:t>
      </w:r>
      <w:r>
        <w:rPr>
          <w:rFonts w:hint="eastAsia" w:ascii="宋体" w:hAnsi="宋体" w:cs="Arial"/>
          <w:b/>
          <w:kern w:val="0"/>
          <w:sz w:val="24"/>
        </w:rPr>
        <w:t>参加在线</w:t>
      </w:r>
      <w:r>
        <w:rPr>
          <w:rFonts w:ascii="宋体" w:hAnsi="宋体" w:cs="Arial"/>
          <w:b/>
          <w:kern w:val="0"/>
          <w:sz w:val="24"/>
        </w:rPr>
        <w:t>开标大会的，</w:t>
      </w:r>
      <w:r>
        <w:rPr>
          <w:rFonts w:hint="eastAsia" w:ascii="宋体" w:hAnsi="宋体" w:cs="Arial"/>
          <w:b/>
          <w:kern w:val="0"/>
          <w:sz w:val="24"/>
        </w:rPr>
        <w:t>视同认可开标结果，</w:t>
      </w:r>
      <w:r>
        <w:rPr>
          <w:rFonts w:ascii="宋体" w:hAnsi="宋体" w:cs="Arial"/>
          <w:b/>
          <w:kern w:val="0"/>
          <w:sz w:val="24"/>
        </w:rPr>
        <w:t>事后不得对采购相关人员、开标过程和开标结果提出异议</w:t>
      </w:r>
      <w:r>
        <w:rPr>
          <w:rFonts w:hint="eastAsia" w:ascii="宋体" w:hAnsi="宋体" w:cs="Arial"/>
          <w:b/>
          <w:kern w:val="0"/>
          <w:sz w:val="24"/>
        </w:rPr>
        <w:t>，同时投标供应商因未在线参加开标而导致投标文件无法按时解密等一切后果由供应商自行承担。</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向各投标人发出“电子加密投标文件”【开始解密】通知，由供应商在招标文件规定的时间内自行进行投标文件解密。供应商在规定的时间内无法完成已递交的“电子加密投标文件”解密的，如已按规定递交了“备份投标文件”的，将由采购代理机构按“政府采购云平台”操作规范将“备份投标文件”上传至“政府采购云平台”，上传成功后，“电子加密投标文件”自动失效；</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3、投标文件解密结束，供应商通过邮件形式将经授权代表签署的《政府采购活动现场确认声明书》（</w:t>
      </w:r>
      <w:r>
        <w:rPr>
          <w:rFonts w:hint="eastAsia" w:ascii="宋体" w:hAnsi="宋体" w:cs="宋体"/>
          <w:b/>
          <w:bCs/>
          <w:sz w:val="24"/>
          <w:szCs w:val="24"/>
        </w:rPr>
        <w:t>格式见招标文件最后一页内容</w:t>
      </w:r>
      <w:r>
        <w:rPr>
          <w:rFonts w:hint="eastAsia" w:ascii="宋体" w:hAnsi="宋体" w:cs="宋体"/>
          <w:sz w:val="24"/>
          <w:szCs w:val="24"/>
        </w:rPr>
        <w:t>）的扫描件或（图片）发至代理机构经办人邮箱（邮箱地址：61692137@qq.com）；</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4、由采购人或者采购代理机构评审资格证明文件，若资格审查不符合招标文件要求，通过“政府采购云平台”线上告知其原因并由投标人签章确认</w:t>
      </w:r>
      <w:r>
        <w:rPr>
          <w:rFonts w:hint="eastAsia" w:ascii="宋体" w:hAnsi="宋体" w:cs="宋体"/>
          <w:color w:val="000000" w:themeColor="text1"/>
          <w:sz w:val="24"/>
          <w:szCs w:val="24"/>
        </w:rPr>
        <w:t>（不予确认的应说明理由，否则视为无异议）</w:t>
      </w:r>
      <w:r>
        <w:rPr>
          <w:rFonts w:hint="eastAsia" w:ascii="宋体" w:hAnsi="宋体" w:cs="宋体"/>
          <w:sz w:val="24"/>
          <w:szCs w:val="24"/>
        </w:rPr>
        <w:t>。资格审查未获通过的投标人，其商务技术文件及报价文件不进入评审。</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5、评标委员会对商务技术文件进行评审，评审内容包括符合性审查，技术、商务评估及比较等。符合性及</w:t>
      </w:r>
      <w:r>
        <w:rPr>
          <w:rFonts w:hint="eastAsia" w:ascii="宋体" w:hAnsi="宋体" w:cs="宋体"/>
          <w:sz w:val="24"/>
          <w:szCs w:val="24"/>
          <w:lang w:eastAsia="zh-CN"/>
        </w:rPr>
        <w:t>商务</w:t>
      </w:r>
      <w:r>
        <w:rPr>
          <w:rFonts w:hint="eastAsia" w:ascii="宋体" w:hAnsi="宋体" w:cs="宋体"/>
          <w:sz w:val="24"/>
          <w:szCs w:val="24"/>
        </w:rPr>
        <w:t>技术审查不通过的，通过“政府采购云平台”线上告知其原因并由投标人签章确认</w:t>
      </w:r>
      <w:r>
        <w:rPr>
          <w:rFonts w:hint="eastAsia" w:ascii="宋体" w:hAnsi="宋体" w:cs="宋体"/>
          <w:color w:val="000000" w:themeColor="text1"/>
          <w:sz w:val="24"/>
          <w:szCs w:val="24"/>
        </w:rPr>
        <w:t>（不予确认的应说明理由，否则视为无异议），</w:t>
      </w:r>
      <w:r>
        <w:rPr>
          <w:rFonts w:hint="eastAsia" w:ascii="宋体" w:hAnsi="宋体" w:cs="宋体"/>
          <w:sz w:val="24"/>
          <w:szCs w:val="24"/>
        </w:rPr>
        <w:t>其报价文件不再进入评审。</w:t>
      </w:r>
    </w:p>
    <w:p>
      <w:pPr>
        <w:spacing w:line="360" w:lineRule="auto"/>
        <w:ind w:firstLine="424" w:firstLineChars="177"/>
        <w:jc w:val="left"/>
        <w:rPr>
          <w:rFonts w:ascii="宋体" w:hAnsi="宋体" w:cs="Arial"/>
          <w:kern w:val="0"/>
          <w:sz w:val="24"/>
        </w:rPr>
      </w:pPr>
      <w:r>
        <w:rPr>
          <w:rFonts w:hint="eastAsia" w:ascii="宋体" w:hAnsi="宋体" w:cs="宋体"/>
          <w:sz w:val="24"/>
          <w:szCs w:val="24"/>
        </w:rPr>
        <w:t>6、</w:t>
      </w:r>
      <w:r>
        <w:rPr>
          <w:rFonts w:hint="eastAsia" w:ascii="宋体" w:hAnsi="宋体" w:cs="Arial"/>
          <w:kern w:val="0"/>
          <w:sz w:val="24"/>
        </w:rPr>
        <w:t>开启符合性审查、商务技术评审有效投标供应商的《报价文件》，通过“政府采购云平台”公布开标一览表有关内容，同时当场制作开标记录表，</w:t>
      </w:r>
      <w:r>
        <w:rPr>
          <w:rFonts w:hint="eastAsia" w:ascii="宋体" w:hAnsi="宋体" w:cs="Arial"/>
          <w:kern w:val="0"/>
          <w:sz w:val="24"/>
          <w:u w:val="single"/>
        </w:rPr>
        <w:t>供应商通过“政府采购云平台”</w:t>
      </w:r>
      <w:r>
        <w:rPr>
          <w:rFonts w:ascii="宋体" w:hAnsi="宋体" w:cs="Arial"/>
          <w:kern w:val="0"/>
          <w:sz w:val="24"/>
          <w:u w:val="single"/>
        </w:rPr>
        <w:t>签</w:t>
      </w:r>
      <w:r>
        <w:rPr>
          <w:rFonts w:hint="eastAsia" w:ascii="宋体" w:hAnsi="宋体" w:cs="Arial"/>
          <w:kern w:val="0"/>
          <w:sz w:val="24"/>
          <w:u w:val="single"/>
        </w:rPr>
        <w:t>章</w:t>
      </w:r>
      <w:r>
        <w:rPr>
          <w:rFonts w:ascii="宋体" w:hAnsi="宋体" w:cs="Arial"/>
          <w:kern w:val="0"/>
          <w:sz w:val="24"/>
          <w:u w:val="single"/>
        </w:rPr>
        <w:t>确认</w:t>
      </w:r>
      <w:r>
        <w:rPr>
          <w:rFonts w:ascii="宋体" w:hAnsi="宋体" w:cs="Arial"/>
          <w:kern w:val="0"/>
          <w:sz w:val="24"/>
        </w:rPr>
        <w:t>（不予确认的应说明理由，否则视为无异议）。</w:t>
      </w:r>
      <w:r>
        <w:rPr>
          <w:rFonts w:hint="eastAsia" w:ascii="宋体" w:hAnsi="宋体" w:cs="Arial"/>
          <w:kern w:val="0"/>
          <w:sz w:val="24"/>
        </w:rPr>
        <w:t>报价文件开启</w:t>
      </w:r>
      <w:r>
        <w:rPr>
          <w:rFonts w:ascii="宋体" w:hAnsi="宋体" w:cs="Arial"/>
          <w:kern w:val="0"/>
          <w:sz w:val="24"/>
        </w:rPr>
        <w:t>后，由评标委员会对报价的合理性、准确性等进行审查核实</w:t>
      </w:r>
      <w:r>
        <w:rPr>
          <w:rFonts w:hint="eastAsia" w:ascii="宋体" w:hAnsi="宋体" w:cs="Arial"/>
          <w:kern w:val="0"/>
          <w:sz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7、评审结束后，由评标委员会编写并签署评审报告，评审报告应当根据评标办法及评分标准推荐中标候选人；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8、采购代理机构将通过“政府采购云平台”线上公布中标（成交）候选供应商名单并出具开标记录，由主持人、记录人、现场监督员当场签字确认；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9、开标会议结束。</w:t>
      </w:r>
    </w:p>
    <w:p>
      <w:pPr>
        <w:snapToGrid w:val="0"/>
        <w:spacing w:line="360" w:lineRule="auto"/>
        <w:ind w:firstLine="480" w:firstLineChars="200"/>
        <w:rPr>
          <w:rFonts w:ascii="宋体" w:hAnsi="宋体" w:cs="宋体"/>
          <w:b/>
          <w:bCs/>
          <w:color w:val="FF0000"/>
          <w:sz w:val="24"/>
          <w:szCs w:val="24"/>
        </w:rPr>
      </w:pPr>
      <w:r>
        <w:rPr>
          <w:rFonts w:hint="eastAsia" w:ascii="宋体" w:hAnsi="宋体" w:cs="宋体"/>
          <w:b/>
          <w:bCs/>
          <w:color w:val="FF0000"/>
          <w:sz w:val="24"/>
          <w:szCs w:val="24"/>
        </w:rPr>
        <w:t>特别说明：政府采购云平台如对电子化开标及评审程序有调整的，按调整后的程序操作。</w:t>
      </w:r>
    </w:p>
    <w:p>
      <w:pPr>
        <w:pStyle w:val="11"/>
        <w:snapToGrid w:val="0"/>
        <w:spacing w:line="360" w:lineRule="auto"/>
        <w:jc w:val="center"/>
        <w:outlineLvl w:val="1"/>
        <w:rPr>
          <w:rFonts w:hAnsi="宋体" w:cs="Times New Roman"/>
          <w:b/>
          <w:bCs/>
          <w:sz w:val="28"/>
          <w:szCs w:val="28"/>
        </w:rPr>
      </w:pPr>
      <w:r>
        <w:rPr>
          <w:rFonts w:hint="eastAsia" w:hAnsi="宋体"/>
          <w:b/>
          <w:bCs/>
          <w:sz w:val="28"/>
          <w:szCs w:val="28"/>
        </w:rPr>
        <w:t>五、评标</w:t>
      </w:r>
    </w:p>
    <w:p>
      <w:pPr>
        <w:pStyle w:val="7"/>
        <w:numPr>
          <w:ilvl w:val="2"/>
          <w:numId w:val="0"/>
        </w:numPr>
        <w:spacing w:before="0" w:after="0" w:line="360" w:lineRule="auto"/>
        <w:ind w:left="728" w:leftChars="185" w:hanging="340" w:hangingChars="142"/>
        <w:rPr>
          <w:rFonts w:ascii="宋体" w:hAnsi="宋体"/>
          <w:sz w:val="24"/>
          <w:szCs w:val="24"/>
        </w:rPr>
      </w:pPr>
      <w:r>
        <w:rPr>
          <w:rFonts w:hint="eastAsia" w:ascii="宋体" w:hAnsi="宋体" w:cs="宋体"/>
          <w:sz w:val="24"/>
          <w:szCs w:val="24"/>
        </w:rPr>
        <w:t>（一）</w:t>
      </w:r>
      <w:r>
        <w:rPr>
          <w:rFonts w:hint="eastAsia" w:ascii="宋体" w:hAnsi="宋体"/>
          <w:sz w:val="24"/>
          <w:szCs w:val="24"/>
        </w:rPr>
        <w:t>评审工作的组织</w:t>
      </w:r>
    </w:p>
    <w:p>
      <w:pPr>
        <w:spacing w:line="360" w:lineRule="auto"/>
        <w:ind w:firstLine="422" w:firstLineChars="176"/>
        <w:rPr>
          <w:rFonts w:ascii="宋体" w:hAnsi="宋体" w:cs="Arial"/>
          <w:kern w:val="0"/>
          <w:sz w:val="24"/>
        </w:rPr>
      </w:pPr>
      <w:r>
        <w:rPr>
          <w:rFonts w:hint="eastAsia" w:ascii="宋体" w:hAnsi="宋体" w:cs="Arial"/>
          <w:kern w:val="0"/>
          <w:sz w:val="24"/>
        </w:rPr>
        <w:t>1、采购人或采购代理机构负责组织本项目的评审工作，并依据《政府采购货物和服务招标投标管理办法（财政部第87号令）》第四十五条的相关规定履行职责。</w:t>
      </w:r>
    </w:p>
    <w:p>
      <w:pPr>
        <w:pStyle w:val="7"/>
        <w:numPr>
          <w:ilvl w:val="2"/>
          <w:numId w:val="0"/>
        </w:numPr>
        <w:spacing w:before="0" w:after="0" w:line="360" w:lineRule="auto"/>
        <w:ind w:left="728" w:leftChars="185" w:hanging="340" w:hangingChars="142"/>
        <w:rPr>
          <w:rFonts w:ascii="宋体" w:hAnsi="宋体"/>
          <w:sz w:val="24"/>
          <w:szCs w:val="24"/>
        </w:rPr>
      </w:pPr>
      <w:r>
        <w:rPr>
          <w:rFonts w:hint="eastAsia" w:ascii="宋体" w:hAnsi="宋体" w:cs="宋体"/>
          <w:sz w:val="24"/>
          <w:szCs w:val="24"/>
        </w:rPr>
        <w:t>（二）</w:t>
      </w:r>
      <w:r>
        <w:rPr>
          <w:rFonts w:hint="eastAsia" w:ascii="宋体" w:hAnsi="宋体"/>
          <w:sz w:val="24"/>
          <w:szCs w:val="24"/>
        </w:rPr>
        <w:t>评标委员会的组建</w:t>
      </w:r>
    </w:p>
    <w:p>
      <w:pPr>
        <w:spacing w:line="360" w:lineRule="auto"/>
        <w:ind w:firstLine="422" w:firstLineChars="176"/>
        <w:rPr>
          <w:rFonts w:ascii="宋体" w:hAnsi="宋体" w:cs="Arial"/>
          <w:kern w:val="0"/>
          <w:sz w:val="24"/>
        </w:rPr>
      </w:pPr>
      <w:r>
        <w:rPr>
          <w:rFonts w:hint="eastAsia" w:ascii="宋体" w:hAnsi="宋体" w:cs="Arial"/>
          <w:kern w:val="0"/>
          <w:sz w:val="24"/>
        </w:rPr>
        <w:t>1、评标委员会由采购人或采购代理机构依法组建，成员包括采购人代表和评审专家，成员人数</w:t>
      </w:r>
      <w:r>
        <w:rPr>
          <w:rFonts w:ascii="宋体" w:hAnsi="宋体" w:cs="Arial"/>
          <w:kern w:val="0"/>
          <w:sz w:val="24"/>
        </w:rPr>
        <w:t>为</w:t>
      </w:r>
      <w:r>
        <w:rPr>
          <w:rFonts w:hint="eastAsia" w:ascii="宋体" w:hAnsi="宋体" w:cs="Arial"/>
          <w:kern w:val="0"/>
          <w:sz w:val="24"/>
        </w:rPr>
        <w:t>五</w:t>
      </w:r>
      <w:r>
        <w:rPr>
          <w:rFonts w:ascii="宋体" w:hAnsi="宋体" w:cs="Arial"/>
          <w:kern w:val="0"/>
          <w:sz w:val="24"/>
        </w:rPr>
        <w:t>人</w:t>
      </w:r>
      <w:r>
        <w:rPr>
          <w:rFonts w:hint="eastAsia" w:ascii="宋体" w:hAnsi="宋体" w:cs="Arial"/>
          <w:kern w:val="0"/>
          <w:sz w:val="24"/>
        </w:rPr>
        <w:t>或以上单数，其中评审专家不少于成员总数的三分之二。</w:t>
      </w:r>
    </w:p>
    <w:p>
      <w:pPr>
        <w:spacing w:line="360" w:lineRule="auto"/>
        <w:ind w:firstLine="422" w:firstLineChars="176"/>
        <w:rPr>
          <w:rFonts w:ascii="宋体" w:hAnsi="宋体" w:cs="Arial"/>
          <w:kern w:val="0"/>
          <w:sz w:val="24"/>
        </w:rPr>
      </w:pPr>
      <w:r>
        <w:rPr>
          <w:rFonts w:hint="eastAsia" w:ascii="宋体" w:hAnsi="宋体" w:cs="Arial"/>
          <w:kern w:val="0"/>
          <w:sz w:val="24"/>
        </w:rPr>
        <w:t>2、评标委员会成员名单在评审结果（采购结果）公告前保密。</w:t>
      </w:r>
    </w:p>
    <w:p>
      <w:pPr>
        <w:pStyle w:val="7"/>
        <w:numPr>
          <w:ilvl w:val="2"/>
          <w:numId w:val="0"/>
        </w:numPr>
        <w:spacing w:before="0" w:after="0" w:line="360" w:lineRule="auto"/>
        <w:ind w:left="728" w:leftChars="185" w:hanging="340" w:hangingChars="142"/>
        <w:rPr>
          <w:rFonts w:ascii="宋体" w:hAnsi="宋体"/>
          <w:sz w:val="24"/>
          <w:szCs w:val="24"/>
        </w:rPr>
      </w:pPr>
      <w:r>
        <w:rPr>
          <w:rFonts w:hint="eastAsia" w:ascii="宋体" w:hAnsi="宋体" w:cs="宋体"/>
          <w:sz w:val="24"/>
          <w:szCs w:val="24"/>
        </w:rPr>
        <w:t>（三）</w:t>
      </w:r>
      <w:r>
        <w:rPr>
          <w:rFonts w:hint="eastAsia" w:ascii="宋体" w:hAnsi="宋体"/>
          <w:sz w:val="24"/>
          <w:szCs w:val="24"/>
        </w:rPr>
        <w:t>评标委员会的职责</w:t>
      </w:r>
    </w:p>
    <w:p>
      <w:pPr>
        <w:spacing w:line="360" w:lineRule="auto"/>
        <w:ind w:firstLine="422" w:firstLineChars="176"/>
        <w:rPr>
          <w:rFonts w:ascii="宋体" w:hAnsi="宋体" w:cs="Arial"/>
          <w:b/>
          <w:kern w:val="0"/>
          <w:sz w:val="24"/>
        </w:rPr>
      </w:pPr>
      <w:r>
        <w:rPr>
          <w:rFonts w:hint="eastAsia" w:ascii="宋体" w:hAnsi="宋体" w:cs="Arial"/>
          <w:b/>
          <w:kern w:val="0"/>
          <w:sz w:val="24"/>
        </w:rPr>
        <w:t>1、评标委员会负责具体评审事务，并独立履行下列职责：</w:t>
      </w:r>
    </w:p>
    <w:p>
      <w:pPr>
        <w:spacing w:line="360" w:lineRule="auto"/>
        <w:ind w:firstLine="422" w:firstLineChars="176"/>
        <w:rPr>
          <w:rFonts w:ascii="宋体" w:hAnsi="宋体" w:cs="Arial"/>
          <w:kern w:val="0"/>
          <w:sz w:val="24"/>
        </w:rPr>
      </w:pPr>
      <w:r>
        <w:rPr>
          <w:rFonts w:hint="eastAsia" w:ascii="宋体" w:hAnsi="宋体" w:cs="Arial"/>
          <w:kern w:val="0"/>
          <w:sz w:val="24"/>
        </w:rPr>
        <w:t>（1）审查、评价投标文件是否符合招标文件的商务、技术等实质性要求；</w:t>
      </w:r>
    </w:p>
    <w:p>
      <w:pPr>
        <w:spacing w:line="360" w:lineRule="auto"/>
        <w:ind w:firstLine="422" w:firstLineChars="176"/>
        <w:rPr>
          <w:rFonts w:ascii="宋体" w:hAnsi="宋体" w:cs="Arial"/>
          <w:kern w:val="0"/>
          <w:sz w:val="24"/>
        </w:rPr>
      </w:pPr>
      <w:r>
        <w:rPr>
          <w:rFonts w:hint="eastAsia" w:ascii="宋体" w:hAnsi="宋体" w:cs="Arial"/>
          <w:kern w:val="0"/>
          <w:sz w:val="24"/>
        </w:rPr>
        <w:t>（2）要求投标人对投标文件有关事项作出澄清或者说明；</w:t>
      </w:r>
    </w:p>
    <w:p>
      <w:pPr>
        <w:spacing w:line="360" w:lineRule="auto"/>
        <w:ind w:firstLine="422" w:firstLineChars="176"/>
        <w:rPr>
          <w:rFonts w:ascii="宋体" w:hAnsi="宋体" w:cs="Arial"/>
          <w:kern w:val="0"/>
          <w:sz w:val="24"/>
        </w:rPr>
      </w:pPr>
      <w:r>
        <w:rPr>
          <w:rFonts w:hint="eastAsia" w:ascii="宋体" w:hAnsi="宋体" w:cs="Arial"/>
          <w:kern w:val="0"/>
          <w:sz w:val="24"/>
        </w:rPr>
        <w:t>（3）对投标文件进行比较和评价；</w:t>
      </w:r>
    </w:p>
    <w:p>
      <w:pPr>
        <w:spacing w:line="360" w:lineRule="auto"/>
        <w:ind w:firstLine="422" w:firstLineChars="176"/>
        <w:rPr>
          <w:rFonts w:ascii="宋体" w:hAnsi="宋体" w:cs="Arial"/>
          <w:kern w:val="0"/>
          <w:sz w:val="24"/>
        </w:rPr>
      </w:pPr>
      <w:r>
        <w:rPr>
          <w:rFonts w:hint="eastAsia" w:ascii="宋体" w:hAnsi="宋体" w:cs="Arial"/>
          <w:kern w:val="0"/>
          <w:sz w:val="24"/>
        </w:rPr>
        <w:t>（4）确定中标候选人名单，以及根据采购人委托直接确定中标人。</w:t>
      </w:r>
    </w:p>
    <w:p>
      <w:pPr>
        <w:pStyle w:val="7"/>
        <w:numPr>
          <w:ilvl w:val="2"/>
          <w:numId w:val="0"/>
        </w:numPr>
        <w:spacing w:before="0" w:after="0" w:line="360" w:lineRule="auto"/>
        <w:ind w:left="728" w:leftChars="185" w:hanging="340" w:hangingChars="142"/>
        <w:rPr>
          <w:rFonts w:ascii="宋体" w:hAnsi="宋体"/>
          <w:sz w:val="24"/>
          <w:szCs w:val="24"/>
        </w:rPr>
      </w:pPr>
      <w:r>
        <w:rPr>
          <w:rFonts w:hint="eastAsia" w:ascii="宋体" w:hAnsi="宋体" w:cs="宋体"/>
          <w:sz w:val="24"/>
          <w:szCs w:val="24"/>
        </w:rPr>
        <w:t>（四）</w:t>
      </w:r>
      <w:r>
        <w:rPr>
          <w:rFonts w:hint="eastAsia" w:ascii="宋体" w:hAnsi="宋体"/>
          <w:sz w:val="24"/>
          <w:szCs w:val="24"/>
        </w:rPr>
        <w:t>评审原则</w:t>
      </w:r>
    </w:p>
    <w:p>
      <w:pPr>
        <w:spacing w:line="360" w:lineRule="auto"/>
        <w:ind w:firstLine="424" w:firstLineChars="177"/>
        <w:rPr>
          <w:rFonts w:ascii="宋体" w:hAnsi="宋体" w:cs="Arial"/>
          <w:sz w:val="24"/>
        </w:rPr>
      </w:pPr>
      <w:r>
        <w:rPr>
          <w:rFonts w:hint="eastAsia" w:ascii="宋体" w:hAnsi="宋体" w:cs="Arial"/>
          <w:sz w:val="24"/>
        </w:rPr>
        <w:t>1、评审原则：</w:t>
      </w:r>
      <w:r>
        <w:rPr>
          <w:rFonts w:hint="eastAsia" w:ascii="宋体" w:hAnsi="宋体" w:cs="Arial"/>
          <w:kern w:val="0"/>
          <w:sz w:val="24"/>
        </w:rPr>
        <w:t>评标委员会</w:t>
      </w:r>
      <w:r>
        <w:rPr>
          <w:rFonts w:hint="eastAsia" w:ascii="宋体" w:hAnsi="宋体" w:cs="Arial"/>
          <w:sz w:val="24"/>
        </w:rPr>
        <w:t>按照客观、公正、审慎、</w:t>
      </w:r>
      <w:r>
        <w:rPr>
          <w:rFonts w:ascii="宋体" w:hAnsi="宋体" w:cs="Arial"/>
          <w:sz w:val="24"/>
        </w:rPr>
        <w:t>择优的</w:t>
      </w:r>
      <w:r>
        <w:rPr>
          <w:rFonts w:hint="eastAsia" w:ascii="宋体" w:hAnsi="宋体" w:cs="Arial"/>
          <w:sz w:val="24"/>
        </w:rPr>
        <w:t>原则，根据招标文件规定的评审程序、评审方法和评审标准进行独立评审。</w:t>
      </w:r>
    </w:p>
    <w:p>
      <w:pPr>
        <w:spacing w:line="360" w:lineRule="auto"/>
        <w:ind w:firstLine="424" w:firstLineChars="177"/>
        <w:rPr>
          <w:rFonts w:ascii="宋体" w:hAnsi="宋体" w:cs="Arial"/>
          <w:sz w:val="24"/>
        </w:rPr>
      </w:pPr>
      <w:r>
        <w:rPr>
          <w:rFonts w:hint="eastAsia" w:ascii="宋体" w:hAnsi="宋体" w:cs="Arial"/>
          <w:sz w:val="24"/>
        </w:rPr>
        <w:t>2、评审工作将依据</w:t>
      </w:r>
      <w:r>
        <w:rPr>
          <w:rFonts w:ascii="宋体" w:hAnsi="宋体" w:cs="Arial"/>
          <w:kern w:val="0"/>
          <w:sz w:val="24"/>
        </w:rPr>
        <w:t>招标文件</w:t>
      </w:r>
      <w:r>
        <w:rPr>
          <w:rFonts w:hint="eastAsia" w:ascii="宋体" w:hAnsi="宋体" w:cs="Arial"/>
          <w:kern w:val="0"/>
          <w:sz w:val="24"/>
        </w:rPr>
        <w:t>、</w:t>
      </w:r>
      <w:r>
        <w:rPr>
          <w:rFonts w:ascii="宋体" w:hAnsi="宋体" w:cs="Arial"/>
          <w:kern w:val="0"/>
          <w:sz w:val="24"/>
        </w:rPr>
        <w:t>投标文件</w:t>
      </w:r>
      <w:r>
        <w:rPr>
          <w:rFonts w:hint="eastAsia" w:ascii="宋体" w:hAnsi="宋体" w:cs="Arial"/>
          <w:kern w:val="0"/>
          <w:sz w:val="24"/>
        </w:rPr>
        <w:t>及招标文件中事先已列明的内容进行（如现场方案讲解、演示等）。</w:t>
      </w:r>
    </w:p>
    <w:p>
      <w:pPr>
        <w:pStyle w:val="7"/>
        <w:numPr>
          <w:ilvl w:val="2"/>
          <w:numId w:val="0"/>
        </w:numPr>
        <w:spacing w:before="0" w:after="0" w:line="360" w:lineRule="auto"/>
        <w:ind w:left="728" w:leftChars="185" w:hanging="340" w:hangingChars="142"/>
        <w:rPr>
          <w:rFonts w:ascii="宋体" w:hAnsi="宋体"/>
          <w:sz w:val="24"/>
          <w:szCs w:val="24"/>
        </w:rPr>
      </w:pPr>
      <w:r>
        <w:rPr>
          <w:rFonts w:hint="eastAsia" w:ascii="宋体" w:hAnsi="宋体" w:cs="宋体"/>
          <w:sz w:val="24"/>
          <w:szCs w:val="24"/>
        </w:rPr>
        <w:t>（五）</w:t>
      </w:r>
      <w:r>
        <w:rPr>
          <w:rFonts w:hint="eastAsia" w:ascii="宋体" w:hAnsi="宋体"/>
          <w:sz w:val="24"/>
          <w:szCs w:val="24"/>
        </w:rPr>
        <w:t>评审意见的争议处理</w:t>
      </w:r>
    </w:p>
    <w:p>
      <w:pPr>
        <w:spacing w:line="360" w:lineRule="auto"/>
        <w:ind w:firstLine="424" w:firstLineChars="177"/>
        <w:rPr>
          <w:rFonts w:ascii="宋体" w:hAnsi="宋体" w:cs="Arial"/>
          <w:bCs/>
          <w:sz w:val="24"/>
        </w:rPr>
      </w:pPr>
      <w:r>
        <w:rPr>
          <w:rFonts w:hint="eastAsia" w:ascii="宋体" w:hAnsi="宋体" w:cs="Arial"/>
          <w:bCs/>
          <w:sz w:val="24"/>
        </w:rPr>
        <w:t>1、评标委员会</w:t>
      </w:r>
      <w:r>
        <w:rPr>
          <w:rFonts w:ascii="宋体" w:hAnsi="宋体" w:cs="Arial"/>
          <w:bCs/>
          <w:sz w:val="24"/>
        </w:rPr>
        <w:t>成员对需要共同认定的事项存在争议的，按照少数服从多数的原则作出结论。持不同意见的</w:t>
      </w:r>
      <w:r>
        <w:rPr>
          <w:rFonts w:hint="eastAsia" w:ascii="宋体" w:hAnsi="宋体" w:cs="Arial"/>
          <w:bCs/>
          <w:sz w:val="24"/>
        </w:rPr>
        <w:t>评标委员会</w:t>
      </w:r>
      <w:r>
        <w:rPr>
          <w:rFonts w:ascii="宋体" w:hAnsi="宋体" w:cs="Arial"/>
          <w:bCs/>
          <w:sz w:val="24"/>
        </w:rPr>
        <w:t>成员应当在评</w:t>
      </w:r>
      <w:r>
        <w:rPr>
          <w:rFonts w:hint="eastAsia" w:ascii="宋体" w:hAnsi="宋体" w:cs="Arial"/>
          <w:bCs/>
          <w:sz w:val="24"/>
        </w:rPr>
        <w:t>审</w:t>
      </w:r>
      <w:r>
        <w:rPr>
          <w:rFonts w:ascii="宋体" w:hAnsi="宋体" w:cs="Arial"/>
          <w:bCs/>
          <w:sz w:val="24"/>
        </w:rPr>
        <w:t>报告上签署不同意见及理由，否则视为同意评</w:t>
      </w:r>
      <w:r>
        <w:rPr>
          <w:rFonts w:hint="eastAsia" w:ascii="宋体" w:hAnsi="宋体" w:cs="Arial"/>
          <w:bCs/>
          <w:sz w:val="24"/>
        </w:rPr>
        <w:t>审</w:t>
      </w:r>
      <w:r>
        <w:rPr>
          <w:rFonts w:ascii="宋体" w:hAnsi="宋体" w:cs="Arial"/>
          <w:bCs/>
          <w:sz w:val="24"/>
        </w:rPr>
        <w:t>报告。</w:t>
      </w:r>
    </w:p>
    <w:p>
      <w:pPr>
        <w:pStyle w:val="7"/>
        <w:numPr>
          <w:ilvl w:val="2"/>
          <w:numId w:val="0"/>
        </w:numPr>
        <w:spacing w:before="0" w:after="0" w:line="360" w:lineRule="auto"/>
        <w:ind w:left="728" w:leftChars="185" w:hanging="340" w:hangingChars="142"/>
        <w:rPr>
          <w:rFonts w:ascii="宋体" w:hAnsi="宋体"/>
          <w:sz w:val="24"/>
          <w:szCs w:val="24"/>
        </w:rPr>
      </w:pPr>
      <w:r>
        <w:rPr>
          <w:rFonts w:hint="eastAsia" w:ascii="宋体" w:hAnsi="宋体" w:cs="宋体"/>
          <w:sz w:val="24"/>
          <w:szCs w:val="24"/>
        </w:rPr>
        <w:t>（六）</w:t>
      </w:r>
      <w:r>
        <w:rPr>
          <w:rFonts w:hint="eastAsia" w:ascii="宋体" w:hAnsi="宋体"/>
          <w:sz w:val="24"/>
          <w:szCs w:val="24"/>
        </w:rPr>
        <w:t>评委纪律</w:t>
      </w:r>
    </w:p>
    <w:p>
      <w:pPr>
        <w:spacing w:line="360" w:lineRule="auto"/>
        <w:ind w:firstLine="424" w:firstLineChars="177"/>
        <w:rPr>
          <w:rFonts w:ascii="宋体" w:hAnsi="宋体" w:cs="Arial"/>
          <w:kern w:val="0"/>
          <w:sz w:val="24"/>
        </w:rPr>
      </w:pPr>
      <w:r>
        <w:rPr>
          <w:rFonts w:hint="eastAsia" w:ascii="宋体" w:hAnsi="宋体" w:cs="Arial"/>
          <w:sz w:val="24"/>
        </w:rPr>
        <w:t>1、评标委员会成员</w:t>
      </w:r>
      <w:r>
        <w:rPr>
          <w:rFonts w:ascii="宋体" w:hAnsi="宋体" w:cs="Arial"/>
          <w:sz w:val="24"/>
        </w:rPr>
        <w:t>必须严格遵守保密规定，不得泄露评</w:t>
      </w:r>
      <w:r>
        <w:rPr>
          <w:rFonts w:hint="eastAsia" w:ascii="宋体" w:hAnsi="宋体" w:cs="Arial"/>
          <w:sz w:val="24"/>
        </w:rPr>
        <w:t>审</w:t>
      </w:r>
      <w:r>
        <w:rPr>
          <w:rFonts w:ascii="宋体" w:hAnsi="宋体" w:cs="Arial"/>
          <w:sz w:val="24"/>
        </w:rPr>
        <w:t>的有关情况</w:t>
      </w:r>
      <w:r>
        <w:rPr>
          <w:rFonts w:hint="eastAsia" w:ascii="宋体" w:hAnsi="宋体" w:cs="Arial"/>
          <w:kern w:val="0"/>
          <w:sz w:val="24"/>
        </w:rPr>
        <w:t>，</w:t>
      </w:r>
      <w:r>
        <w:rPr>
          <w:rFonts w:ascii="宋体" w:hAnsi="宋体" w:cs="Arial"/>
          <w:kern w:val="0"/>
          <w:sz w:val="24"/>
        </w:rPr>
        <w:t>任何单位和个人不得干扰、影响评标的正常进行</w:t>
      </w:r>
      <w:r>
        <w:rPr>
          <w:rFonts w:hint="eastAsia" w:ascii="宋体" w:hAnsi="宋体" w:cs="Arial"/>
          <w:kern w:val="0"/>
          <w:sz w:val="24"/>
        </w:rPr>
        <w:t>，</w:t>
      </w:r>
      <w:r>
        <w:rPr>
          <w:rFonts w:ascii="宋体" w:hAnsi="宋体" w:cs="Arial"/>
          <w:kern w:val="0"/>
          <w:sz w:val="24"/>
        </w:rPr>
        <w:t>评标委员会</w:t>
      </w:r>
      <w:r>
        <w:rPr>
          <w:rFonts w:hint="eastAsia" w:ascii="宋体" w:hAnsi="宋体" w:cs="Arial"/>
          <w:kern w:val="0"/>
          <w:sz w:val="24"/>
        </w:rPr>
        <w:t>成员</w:t>
      </w:r>
      <w:r>
        <w:rPr>
          <w:rFonts w:ascii="宋体" w:hAnsi="宋体" w:cs="Arial"/>
          <w:kern w:val="0"/>
          <w:sz w:val="24"/>
        </w:rPr>
        <w:t>不得私下与投标供应商接触</w:t>
      </w:r>
      <w:r>
        <w:rPr>
          <w:rFonts w:hint="eastAsia" w:ascii="宋体" w:hAnsi="宋体" w:cs="Arial"/>
          <w:kern w:val="0"/>
          <w:sz w:val="24"/>
        </w:rPr>
        <w:t>，不得出现浙江省政府采购活动现场组织管理办法中规定的其他禁止行为。</w:t>
      </w:r>
    </w:p>
    <w:p>
      <w:pPr>
        <w:pStyle w:val="7"/>
        <w:numPr>
          <w:ilvl w:val="2"/>
          <w:numId w:val="0"/>
        </w:numPr>
        <w:spacing w:before="0" w:after="0" w:line="360" w:lineRule="auto"/>
        <w:ind w:left="728" w:leftChars="185" w:hanging="340" w:hangingChars="142"/>
        <w:rPr>
          <w:rFonts w:ascii="宋体" w:hAnsi="宋体" w:cs="宋体"/>
          <w:sz w:val="24"/>
          <w:szCs w:val="24"/>
        </w:rPr>
      </w:pPr>
      <w:bookmarkStart w:id="13" w:name="_Toc24550043"/>
      <w:bookmarkStart w:id="14" w:name="_Toc33194395"/>
      <w:r>
        <w:rPr>
          <w:rFonts w:hint="eastAsia" w:ascii="宋体" w:hAnsi="宋体" w:cs="宋体"/>
          <w:sz w:val="24"/>
          <w:szCs w:val="24"/>
        </w:rPr>
        <w:t>（七）</w:t>
      </w:r>
      <w:bookmarkEnd w:id="13"/>
      <w:bookmarkStart w:id="15" w:name="_Toc24550044"/>
      <w:r>
        <w:rPr>
          <w:rFonts w:hint="eastAsia" w:ascii="宋体" w:hAnsi="宋体" w:cs="宋体"/>
          <w:sz w:val="24"/>
          <w:szCs w:val="24"/>
        </w:rPr>
        <w:t>评审流程及内容</w:t>
      </w:r>
      <w:bookmarkEnd w:id="14"/>
      <w:bookmarkEnd w:id="15"/>
    </w:p>
    <w:p>
      <w:pPr>
        <w:spacing w:line="360" w:lineRule="auto"/>
        <w:ind w:firstLine="422" w:firstLineChars="176"/>
        <w:rPr>
          <w:rFonts w:ascii="宋体" w:hAnsi="宋体"/>
          <w:sz w:val="24"/>
        </w:rPr>
      </w:pPr>
      <w:r>
        <w:rPr>
          <w:rFonts w:hint="eastAsia" w:ascii="宋体" w:hAnsi="宋体" w:cs="Arial"/>
          <w:b/>
          <w:kern w:val="0"/>
          <w:sz w:val="24"/>
        </w:rPr>
        <w:t>本项目具体的评审事务由评标委员会负责，评审流程及内容如下：</w:t>
      </w:r>
    </w:p>
    <w:p>
      <w:pPr>
        <w:pStyle w:val="7"/>
        <w:numPr>
          <w:ilvl w:val="2"/>
          <w:numId w:val="0"/>
        </w:numPr>
        <w:spacing w:before="0" w:after="0" w:line="360" w:lineRule="auto"/>
        <w:ind w:left="728" w:leftChars="185" w:hanging="340" w:hangingChars="142"/>
        <w:rPr>
          <w:rFonts w:ascii="宋体" w:hAnsi="宋体"/>
          <w:sz w:val="24"/>
          <w:szCs w:val="24"/>
        </w:rPr>
      </w:pPr>
      <w:r>
        <w:rPr>
          <w:rFonts w:hint="eastAsia" w:ascii="宋体" w:hAnsi="宋体"/>
          <w:sz w:val="24"/>
          <w:szCs w:val="24"/>
        </w:rPr>
        <w:t>1、评审前准备</w:t>
      </w:r>
    </w:p>
    <w:p>
      <w:pPr>
        <w:spacing w:line="360" w:lineRule="auto"/>
        <w:ind w:firstLine="240" w:firstLineChars="100"/>
        <w:rPr>
          <w:rFonts w:ascii="宋体" w:hAnsi="宋体" w:cs="Arial"/>
          <w:kern w:val="0"/>
          <w:sz w:val="24"/>
        </w:rPr>
      </w:pPr>
      <w:r>
        <w:rPr>
          <w:rFonts w:hint="eastAsia" w:ascii="宋体" w:hAnsi="宋体" w:cs="Arial"/>
          <w:kern w:val="0"/>
          <w:sz w:val="24"/>
        </w:rPr>
        <w:t>（1）由评审专家推选评审小组组长，采购人代表不得担任评审小组组长。</w:t>
      </w:r>
    </w:p>
    <w:p>
      <w:pPr>
        <w:spacing w:line="360" w:lineRule="auto"/>
        <w:ind w:firstLine="240" w:firstLineChars="100"/>
        <w:rPr>
          <w:rFonts w:ascii="宋体" w:hAnsi="宋体" w:cs="Arial"/>
          <w:b/>
          <w:kern w:val="0"/>
          <w:sz w:val="24"/>
        </w:rPr>
      </w:pPr>
      <w:r>
        <w:rPr>
          <w:rFonts w:hint="eastAsia" w:ascii="宋体" w:hAnsi="宋体" w:cs="Arial"/>
          <w:kern w:val="0"/>
          <w:sz w:val="24"/>
        </w:rPr>
        <w:t>（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7"/>
        <w:numPr>
          <w:ilvl w:val="2"/>
          <w:numId w:val="0"/>
        </w:numPr>
        <w:spacing w:before="0" w:after="0" w:line="360" w:lineRule="auto"/>
        <w:ind w:left="728" w:leftChars="185" w:hanging="340" w:hangingChars="142"/>
        <w:rPr>
          <w:rFonts w:ascii="宋体" w:hAnsi="宋体"/>
          <w:sz w:val="24"/>
          <w:szCs w:val="24"/>
        </w:rPr>
      </w:pPr>
      <w:r>
        <w:rPr>
          <w:rFonts w:hint="eastAsia" w:ascii="宋体" w:hAnsi="宋体" w:cs="宋体"/>
          <w:sz w:val="24"/>
          <w:szCs w:val="24"/>
        </w:rPr>
        <w:t>2、</w:t>
      </w:r>
      <w:r>
        <w:rPr>
          <w:rFonts w:hint="eastAsia" w:ascii="宋体" w:hAnsi="宋体"/>
          <w:sz w:val="24"/>
          <w:szCs w:val="24"/>
        </w:rPr>
        <w:t>投标文件的初步审查、符合性审查</w:t>
      </w:r>
    </w:p>
    <w:p>
      <w:pPr>
        <w:spacing w:line="360" w:lineRule="auto"/>
        <w:ind w:firstLine="424" w:firstLineChars="177"/>
        <w:rPr>
          <w:rFonts w:ascii="宋体" w:hAnsi="宋体" w:cs="Arial"/>
          <w:b/>
          <w:kern w:val="0"/>
          <w:sz w:val="24"/>
        </w:rPr>
      </w:pPr>
      <w:r>
        <w:rPr>
          <w:rFonts w:hint="eastAsia" w:ascii="宋体" w:hAnsi="宋体" w:cs="Arial"/>
          <w:b/>
          <w:kern w:val="0"/>
          <w:sz w:val="24"/>
        </w:rPr>
        <w:t>对所有通过资格审查的投标供应商的投标文件进行初步审查，审查、评价投标文件是否符合招标文件的商务、技术、服务等实质性要求。</w:t>
      </w:r>
    </w:p>
    <w:p>
      <w:pPr>
        <w:spacing w:line="360" w:lineRule="auto"/>
        <w:ind w:firstLine="424" w:firstLineChars="177"/>
        <w:rPr>
          <w:rFonts w:ascii="宋体" w:hAnsi="宋体"/>
          <w:sz w:val="24"/>
        </w:rPr>
      </w:pPr>
      <w:r>
        <w:rPr>
          <w:rFonts w:hint="eastAsia" w:ascii="宋体" w:hAnsi="宋体"/>
          <w:sz w:val="24"/>
        </w:rPr>
        <w:t>（1）评标委员会</w:t>
      </w:r>
      <w:r>
        <w:rPr>
          <w:rFonts w:ascii="宋体" w:hAnsi="宋体"/>
          <w:sz w:val="24"/>
        </w:rPr>
        <w:t>首先</w:t>
      </w:r>
      <w:r>
        <w:rPr>
          <w:rFonts w:hint="eastAsia" w:ascii="宋体" w:hAnsi="宋体"/>
          <w:sz w:val="24"/>
        </w:rPr>
        <w:t>对所有通过资格审查的投标供应商的</w:t>
      </w:r>
      <w:r>
        <w:rPr>
          <w:rFonts w:ascii="宋体" w:hAnsi="宋体"/>
          <w:sz w:val="24"/>
        </w:rPr>
        <w:t>投标文件</w:t>
      </w:r>
      <w:r>
        <w:rPr>
          <w:rFonts w:hint="eastAsia" w:ascii="宋体" w:hAnsi="宋体"/>
          <w:sz w:val="24"/>
        </w:rPr>
        <w:t>进行符合性审查，审查每份投标文件</w:t>
      </w:r>
      <w:r>
        <w:rPr>
          <w:rFonts w:ascii="宋体" w:hAnsi="宋体"/>
          <w:sz w:val="24"/>
        </w:rPr>
        <w:t>是否实质上响应了招标文件的要求</w:t>
      </w:r>
      <w:r>
        <w:rPr>
          <w:rFonts w:hint="eastAsia" w:ascii="宋体" w:hAnsi="宋体"/>
          <w:sz w:val="24"/>
        </w:rPr>
        <w:t>（</w:t>
      </w:r>
      <w:r>
        <w:rPr>
          <w:rFonts w:ascii="宋体" w:hAnsi="宋体"/>
          <w:sz w:val="24"/>
        </w:rPr>
        <w:t>实质性响应的投标文件是指投标文件符合招标文件规定的实质性内容、条件和规定</w:t>
      </w:r>
      <w:r>
        <w:rPr>
          <w:rFonts w:hint="eastAsia" w:ascii="宋体" w:hAnsi="宋体"/>
          <w:sz w:val="24"/>
        </w:rPr>
        <w:t>）</w:t>
      </w:r>
      <w:r>
        <w:rPr>
          <w:rFonts w:ascii="宋体" w:hAnsi="宋体"/>
          <w:sz w:val="24"/>
        </w:rPr>
        <w:t>。</w:t>
      </w:r>
    </w:p>
    <w:p>
      <w:pPr>
        <w:pStyle w:val="7"/>
        <w:numPr>
          <w:ilvl w:val="0"/>
          <w:numId w:val="5"/>
        </w:numPr>
        <w:spacing w:before="0" w:after="0" w:line="360" w:lineRule="auto"/>
        <w:ind w:firstLine="480" w:firstLineChars="200"/>
        <w:rPr>
          <w:rFonts w:ascii="宋体" w:hAnsi="宋体"/>
          <w:sz w:val="24"/>
          <w:szCs w:val="24"/>
        </w:rPr>
      </w:pPr>
      <w:r>
        <w:rPr>
          <w:rFonts w:hint="eastAsia" w:ascii="宋体" w:hAnsi="宋体"/>
          <w:sz w:val="24"/>
          <w:szCs w:val="24"/>
        </w:rPr>
        <w:t>投标文件的澄清、说明或补正</w:t>
      </w:r>
    </w:p>
    <w:p>
      <w:pPr>
        <w:pStyle w:val="17"/>
        <w:spacing w:before="0" w:beforeAutospacing="0" w:after="0" w:afterAutospacing="0" w:line="360" w:lineRule="auto"/>
        <w:ind w:firstLine="420" w:firstLineChars="175"/>
        <w:jc w:val="both"/>
      </w:pPr>
      <w:r>
        <w:rPr>
          <w:rFonts w:hint="eastAsia"/>
        </w:rPr>
        <w:t>（1）对于投标文件中含义不明确、同类问题表述不一致或者有明显文字和计算错误的内容，评标委员会将</w:t>
      </w:r>
      <w:r>
        <w:rPr>
          <w:rFonts w:hint="eastAsia"/>
          <w:b/>
          <w:bCs/>
        </w:rPr>
        <w:t>通过邮件形式</w:t>
      </w:r>
      <w:r>
        <w:rPr>
          <w:rFonts w:hint="eastAsia"/>
        </w:rPr>
        <w:t>要求投标供应商在规定的时间内作出必要的澄清、说明或者补正，投标供应商澄清、说明或补正时间为30分钟内，未在规定时间内澄清、说明或补正说明的，视为无异议。</w:t>
      </w:r>
    </w:p>
    <w:p>
      <w:pPr>
        <w:spacing w:line="360" w:lineRule="auto"/>
        <w:ind w:firstLine="420" w:firstLineChars="175"/>
        <w:rPr>
          <w:rFonts w:ascii="宋体" w:hAnsi="宋体" w:cs="Arial"/>
          <w:kern w:val="0"/>
          <w:sz w:val="24"/>
        </w:rPr>
      </w:pPr>
      <w:r>
        <w:rPr>
          <w:rFonts w:hint="eastAsia" w:ascii="宋体" w:hAnsi="宋体" w:cs="Arial"/>
          <w:kern w:val="0"/>
          <w:sz w:val="24"/>
        </w:rPr>
        <w:t>（2）</w:t>
      </w:r>
      <w:r>
        <w:rPr>
          <w:rFonts w:ascii="宋体" w:hAnsi="宋体" w:cs="Arial"/>
          <w:kern w:val="0"/>
          <w:sz w:val="24"/>
        </w:rPr>
        <w:t>投标供应商</w:t>
      </w:r>
      <w:r>
        <w:rPr>
          <w:rFonts w:hint="eastAsia" w:ascii="宋体" w:hAnsi="宋体" w:cs="Arial"/>
          <w:kern w:val="0"/>
          <w:sz w:val="24"/>
        </w:rPr>
        <w:t>的澄清、说明或者补正应当通过邮件形式书面提交，并加盖公章，或者由法定代表人或其授权的代表签字。</w:t>
      </w:r>
      <w:r>
        <w:rPr>
          <w:rFonts w:ascii="宋体" w:hAnsi="宋体" w:cs="Arial"/>
          <w:kern w:val="0"/>
          <w:sz w:val="24"/>
        </w:rPr>
        <w:t>投标供应商</w:t>
      </w:r>
      <w:r>
        <w:rPr>
          <w:rFonts w:hint="eastAsia" w:ascii="宋体" w:hAnsi="宋体" w:cs="Arial"/>
          <w:kern w:val="0"/>
          <w:sz w:val="24"/>
        </w:rPr>
        <w:t>的澄清、说明或者补正不得超出投标文件的范围或者改变投标文件的实质性内容。</w:t>
      </w:r>
    </w:p>
    <w:p>
      <w:pPr>
        <w:pStyle w:val="11"/>
        <w:snapToGrid w:val="0"/>
        <w:spacing w:line="360" w:lineRule="auto"/>
        <w:ind w:firstLine="480" w:firstLineChars="200"/>
        <w:rPr>
          <w:rFonts w:hAnsi="宋体" w:cs="Times New Roman"/>
          <w:b/>
          <w:bCs/>
          <w:sz w:val="24"/>
          <w:szCs w:val="24"/>
        </w:rPr>
      </w:pPr>
      <w:r>
        <w:rPr>
          <w:rFonts w:hint="eastAsia" w:hAnsi="宋体"/>
          <w:b/>
          <w:bCs/>
          <w:sz w:val="24"/>
          <w:szCs w:val="24"/>
        </w:rPr>
        <w:t>（八）错误修正</w:t>
      </w:r>
    </w:p>
    <w:p>
      <w:pPr>
        <w:pStyle w:val="17"/>
        <w:spacing w:before="0" w:beforeAutospacing="0" w:after="0" w:afterAutospacing="0" w:line="360" w:lineRule="auto"/>
        <w:ind w:firstLine="480" w:firstLineChars="200"/>
        <w:jc w:val="both"/>
        <w:rPr>
          <w:rFonts w:cs="Times New Roman"/>
        </w:rPr>
      </w:pPr>
      <w:r>
        <w:rPr>
          <w:rFonts w:hint="eastAsia"/>
        </w:rPr>
        <w:t>投标文件报价出现前后不一致的，除招标文件另有规定外，按照下列规定修正：</w:t>
      </w:r>
    </w:p>
    <w:p>
      <w:pPr>
        <w:pStyle w:val="17"/>
        <w:spacing w:before="0" w:beforeAutospacing="0" w:after="0" w:afterAutospacing="0" w:line="360" w:lineRule="auto"/>
        <w:ind w:firstLine="480" w:firstLineChars="200"/>
        <w:jc w:val="both"/>
        <w:rPr>
          <w:rFonts w:cs="Times New Roman"/>
        </w:rPr>
      </w:pPr>
      <w:r>
        <w:t>1</w:t>
      </w:r>
      <w:r>
        <w:rPr>
          <w:rFonts w:hint="eastAsia"/>
        </w:rPr>
        <w:t>、投标文件中开标一览表（报价表）内容与投标文件中相应内容不一致的，以开标一览表（报价表）为准；若电子投标文件中“开标一览表（报价表）”中报价与“政府采购云平台”中的报价两者不一致的，以电子投标文件中“开标一览表（报价表）”中报价为准。</w:t>
      </w:r>
    </w:p>
    <w:p>
      <w:pPr>
        <w:pStyle w:val="17"/>
        <w:spacing w:before="0" w:beforeAutospacing="0" w:after="0" w:afterAutospacing="0" w:line="360" w:lineRule="auto"/>
        <w:ind w:firstLine="480" w:firstLineChars="200"/>
        <w:jc w:val="both"/>
        <w:rPr>
          <w:rFonts w:cs="Times New Roman"/>
        </w:rPr>
      </w:pPr>
      <w:r>
        <w:t>2</w:t>
      </w:r>
      <w:r>
        <w:rPr>
          <w:rFonts w:hint="eastAsia"/>
        </w:rPr>
        <w:t>、大写金额和小写金额不一致的，以大写金额为准；</w:t>
      </w:r>
    </w:p>
    <w:p>
      <w:pPr>
        <w:pStyle w:val="17"/>
        <w:spacing w:before="0" w:beforeAutospacing="0" w:after="0" w:afterAutospacing="0" w:line="360" w:lineRule="auto"/>
        <w:ind w:firstLine="480" w:firstLineChars="200"/>
        <w:jc w:val="both"/>
        <w:rPr>
          <w:rFonts w:cs="Times New Roman"/>
        </w:rPr>
      </w:pPr>
      <w:r>
        <w:t>3</w:t>
      </w:r>
      <w:r>
        <w:rPr>
          <w:rFonts w:hint="eastAsia"/>
        </w:rPr>
        <w:t>、单价金额小数点或者百分比有明显错位的，以开标一览表的总价为准，并修改单价；</w:t>
      </w:r>
    </w:p>
    <w:p>
      <w:pPr>
        <w:pStyle w:val="17"/>
        <w:spacing w:before="0" w:beforeAutospacing="0" w:after="0" w:afterAutospacing="0" w:line="360" w:lineRule="auto"/>
        <w:ind w:firstLine="480" w:firstLineChars="200"/>
        <w:jc w:val="both"/>
        <w:rPr>
          <w:rFonts w:cs="Times New Roman"/>
        </w:rPr>
      </w:pPr>
      <w:r>
        <w:t>4</w:t>
      </w:r>
      <w:r>
        <w:rPr>
          <w:rFonts w:hint="eastAsia"/>
        </w:rPr>
        <w:t>、总价金额与按单价汇总金额不一致的，以单价金额计算结果为准。</w:t>
      </w:r>
    </w:p>
    <w:p>
      <w:pPr>
        <w:pStyle w:val="17"/>
        <w:spacing w:before="0" w:beforeAutospacing="0" w:after="0" w:afterAutospacing="0" w:line="360" w:lineRule="auto"/>
        <w:ind w:firstLine="480" w:firstLineChars="200"/>
        <w:jc w:val="both"/>
        <w:rPr>
          <w:rFonts w:cs="Times New Roman"/>
        </w:rPr>
      </w:pPr>
      <w:r>
        <w:rPr>
          <w:rFonts w:hint="eastAsia"/>
        </w:rPr>
        <w:t>同时出现两种以上不一致的，按照前款规定的顺序修正。修正应当采用书面形式，并加盖公章，或者由法定代表人或其授权的代表签字。修正后的报价经投标人确认后产生约束力，投标人不确认的，其投标无效。</w:t>
      </w:r>
    </w:p>
    <w:p>
      <w:pPr>
        <w:pStyle w:val="17"/>
        <w:spacing w:before="0" w:beforeAutospacing="0" w:after="0" w:afterAutospacing="0" w:line="360" w:lineRule="auto"/>
        <w:ind w:firstLine="480" w:firstLineChars="200"/>
        <w:jc w:val="both"/>
        <w:rPr>
          <w:rFonts w:cs="Times New Roman"/>
          <w:b/>
          <w:bCs/>
        </w:rPr>
      </w:pPr>
      <w:r>
        <w:rPr>
          <w:rFonts w:hint="eastAsia"/>
          <w:b/>
          <w:bCs/>
        </w:rPr>
        <w:t>（九）投标人存在下列情况之一的，投标无效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1、投标文件未按招标文件规定的要求提交的；</w:t>
      </w:r>
    </w:p>
    <w:p>
      <w:pPr>
        <w:spacing w:line="360" w:lineRule="auto"/>
        <w:ind w:firstLine="480" w:firstLineChars="200"/>
        <w:rPr>
          <w:rFonts w:ascii="宋体" w:hAnsi="宋体" w:cs="宋体"/>
          <w:kern w:val="0"/>
          <w:sz w:val="24"/>
        </w:rPr>
      </w:pPr>
      <w:r>
        <w:rPr>
          <w:rFonts w:hint="eastAsia" w:ascii="宋体" w:hAnsi="宋体" w:cs="宋体"/>
          <w:kern w:val="0"/>
          <w:sz w:val="24"/>
        </w:rPr>
        <w:t>2、电子加密投标文件解密失败且未按要求提交“备份投标文件”的；</w:t>
      </w:r>
    </w:p>
    <w:p>
      <w:pPr>
        <w:spacing w:line="360" w:lineRule="auto"/>
        <w:ind w:firstLine="480" w:firstLineChars="200"/>
        <w:rPr>
          <w:rFonts w:ascii="宋体" w:hAnsi="宋体" w:cs="宋体"/>
          <w:kern w:val="0"/>
          <w:sz w:val="24"/>
        </w:rPr>
      </w:pPr>
      <w:r>
        <w:rPr>
          <w:rFonts w:hint="eastAsia" w:ascii="宋体" w:hAnsi="宋体" w:cs="宋体"/>
          <w:kern w:val="0"/>
          <w:sz w:val="24"/>
        </w:rPr>
        <w:t>3、资格证明文件、商务技术文件、报价文件出现混传或在资格证明文件或商务技术文件中出现投标报价的；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4、投标人没有提供合法、有效的“授权委托书”或“法定代表人身份证明书”的； </w:t>
      </w:r>
    </w:p>
    <w:p>
      <w:pPr>
        <w:spacing w:line="360" w:lineRule="auto"/>
        <w:ind w:firstLine="480" w:firstLineChars="200"/>
        <w:rPr>
          <w:rFonts w:ascii="宋体" w:hAnsi="宋体" w:cs="宋体"/>
          <w:kern w:val="0"/>
          <w:sz w:val="24"/>
        </w:rPr>
      </w:pPr>
      <w:r>
        <w:rPr>
          <w:rFonts w:hint="eastAsia" w:ascii="宋体" w:hAnsi="宋体" w:cs="宋体"/>
          <w:kern w:val="0"/>
          <w:sz w:val="24"/>
        </w:rPr>
        <w:t>5、投标文件的实质性内容未使用中文表述、意思表述不明确、前后矛盾或者使用计量单位不符合招标文件要求的；</w:t>
      </w:r>
    </w:p>
    <w:p>
      <w:pPr>
        <w:spacing w:line="360" w:lineRule="auto"/>
        <w:ind w:firstLine="480" w:firstLineChars="200"/>
        <w:rPr>
          <w:rFonts w:ascii="宋体" w:hAnsi="宋体" w:cs="宋体"/>
          <w:kern w:val="0"/>
          <w:sz w:val="24"/>
        </w:rPr>
      </w:pPr>
      <w:r>
        <w:rPr>
          <w:rFonts w:hint="eastAsia" w:ascii="宋体" w:hAnsi="宋体" w:cs="宋体"/>
          <w:kern w:val="0"/>
          <w:sz w:val="24"/>
        </w:rPr>
        <w:t>6、未实质性响应招标文件要求或者投标文件有采购人不能接受的附加条件的；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7、明显不符合招标文件要求的技术参数、质量标准，或者与招标文件中的技术指标、主要功能项目发生实质性偏离的；</w:t>
      </w:r>
    </w:p>
    <w:p>
      <w:pPr>
        <w:adjustRightInd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8、不具备招标文件中规定的资格要求的；</w:t>
      </w:r>
    </w:p>
    <w:p>
      <w:pPr>
        <w:pStyle w:val="17"/>
        <w:tabs>
          <w:tab w:val="left" w:pos="7380"/>
        </w:tabs>
        <w:adjustRightInd w:val="0"/>
        <w:snapToGrid w:val="0"/>
        <w:spacing w:before="0" w:beforeAutospacing="0" w:after="0" w:afterAutospacing="0" w:line="360" w:lineRule="auto"/>
        <w:ind w:firstLine="480" w:firstLineChars="200"/>
        <w:jc w:val="both"/>
        <w:rPr>
          <w:rFonts w:cs="Times New Roman"/>
        </w:rPr>
      </w:pPr>
      <w:r>
        <w:rPr>
          <w:rFonts w:hint="eastAsia"/>
        </w:rPr>
        <w:t>9、投标文件含有采购人不能接受的附加条件的；</w:t>
      </w:r>
      <w:r>
        <w:rPr>
          <w:rFonts w:cs="Times New Roman"/>
        </w:rPr>
        <w:tab/>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7"/>
        <w:spacing w:before="0" w:beforeAutospacing="0" w:after="0" w:afterAutospacing="0" w:line="360" w:lineRule="auto"/>
        <w:ind w:firstLine="480" w:firstLineChars="200"/>
        <w:jc w:val="both"/>
      </w:pPr>
      <w:r>
        <w:rPr>
          <w:rFonts w:hint="eastAsia"/>
        </w:rPr>
        <w:t>11、报价超过招标文件中规定的预算金额或最高限价；</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12、投标文件提供虚假材料的；</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13、投标人上传的电子加密投标文件解密成功的，电子加密投标文件中法定代表人电子章（或委托代理人签字）、投标人的单位电子公章盖章不齐全，不符合招标文件规定的；</w:t>
      </w:r>
    </w:p>
    <w:p>
      <w:pPr>
        <w:pStyle w:val="17"/>
        <w:spacing w:before="0" w:beforeAutospacing="0" w:after="0" w:afterAutospacing="0" w:line="360" w:lineRule="auto"/>
        <w:ind w:firstLine="480" w:firstLineChars="200"/>
        <w:jc w:val="both"/>
      </w:pPr>
      <w:r>
        <w:rPr>
          <w:rFonts w:hint="eastAsia"/>
        </w:rPr>
        <w:t>14、投标报价关键内容字迹模糊、无法辨认的或投标报价大写不符合国家有关</w:t>
      </w:r>
    </w:p>
    <w:p>
      <w:pPr>
        <w:pStyle w:val="17"/>
        <w:spacing w:before="0" w:beforeAutospacing="0" w:after="0" w:afterAutospacing="0" w:line="360" w:lineRule="auto"/>
        <w:jc w:val="both"/>
      </w:pPr>
      <w:r>
        <w:rPr>
          <w:rFonts w:hint="eastAsia"/>
        </w:rPr>
        <w:t>规定的；</w:t>
      </w:r>
    </w:p>
    <w:p>
      <w:pPr>
        <w:pStyle w:val="17"/>
        <w:spacing w:before="0" w:beforeAutospacing="0" w:after="0" w:afterAutospacing="0" w:line="360" w:lineRule="auto"/>
        <w:ind w:firstLine="480" w:firstLineChars="200"/>
        <w:jc w:val="both"/>
      </w:pPr>
      <w:r>
        <w:rPr>
          <w:rFonts w:hint="eastAsia"/>
        </w:rPr>
        <w:t>15、符合中华人民共和国财政部令第87号《政府采购货物和服务招标投标管理办法》第三十七条情形之一的，视为投标人串通投标，其投标无效，并移送采购监管部门：</w:t>
      </w:r>
    </w:p>
    <w:p>
      <w:pPr>
        <w:pStyle w:val="17"/>
        <w:spacing w:before="0" w:beforeAutospacing="0" w:after="0" w:afterAutospacing="0" w:line="360" w:lineRule="auto"/>
        <w:ind w:firstLine="480" w:firstLineChars="200"/>
        <w:jc w:val="both"/>
        <w:rPr>
          <w:rFonts w:cs="Times New Roman"/>
        </w:rPr>
      </w:pPr>
      <w:r>
        <w:rPr>
          <w:rFonts w:hint="eastAsia"/>
        </w:rPr>
        <w:t>（</w:t>
      </w:r>
      <w:r>
        <w:t>1</w:t>
      </w:r>
      <w:r>
        <w:rPr>
          <w:rFonts w:hint="eastAsia"/>
        </w:rPr>
        <w:t>）不同投标人的投标文件由同一单位或者个人编制；</w:t>
      </w:r>
    </w:p>
    <w:p>
      <w:pPr>
        <w:pStyle w:val="17"/>
        <w:spacing w:before="0" w:beforeAutospacing="0" w:after="0" w:afterAutospacing="0" w:line="360" w:lineRule="auto"/>
        <w:ind w:firstLine="480" w:firstLineChars="200"/>
        <w:jc w:val="both"/>
        <w:rPr>
          <w:rFonts w:cs="Times New Roman"/>
        </w:rPr>
      </w:pPr>
      <w:r>
        <w:rPr>
          <w:rFonts w:hint="eastAsia"/>
        </w:rPr>
        <w:t>（</w:t>
      </w:r>
      <w:r>
        <w:t>2</w:t>
      </w:r>
      <w:r>
        <w:rPr>
          <w:rFonts w:hint="eastAsia"/>
        </w:rPr>
        <w:t>）不同投标人委托同一单位或者个人办理投标事宜；</w:t>
      </w:r>
    </w:p>
    <w:p>
      <w:pPr>
        <w:pStyle w:val="17"/>
        <w:spacing w:before="0" w:beforeAutospacing="0" w:after="0" w:afterAutospacing="0" w:line="360" w:lineRule="auto"/>
        <w:ind w:firstLine="480" w:firstLineChars="200"/>
        <w:jc w:val="both"/>
        <w:rPr>
          <w:rFonts w:cs="Times New Roman"/>
        </w:rPr>
      </w:pPr>
      <w:r>
        <w:rPr>
          <w:rFonts w:hint="eastAsia"/>
        </w:rPr>
        <w:t>（</w:t>
      </w:r>
      <w:r>
        <w:t>3</w:t>
      </w:r>
      <w:r>
        <w:rPr>
          <w:rFonts w:hint="eastAsia"/>
        </w:rPr>
        <w:t>）不同投标人的投标文件载明的项目管理成员或者联系人员为同一人；</w:t>
      </w:r>
    </w:p>
    <w:p>
      <w:pPr>
        <w:pStyle w:val="17"/>
        <w:spacing w:before="0" w:beforeAutospacing="0" w:after="0" w:afterAutospacing="0" w:line="360" w:lineRule="auto"/>
        <w:ind w:firstLine="480" w:firstLineChars="200"/>
        <w:jc w:val="both"/>
        <w:rPr>
          <w:rFonts w:cs="Times New Roman"/>
        </w:rPr>
      </w:pPr>
      <w:r>
        <w:rPr>
          <w:rFonts w:hint="eastAsia"/>
        </w:rPr>
        <w:t>（</w:t>
      </w:r>
      <w:r>
        <w:t>4</w:t>
      </w:r>
      <w:r>
        <w:rPr>
          <w:rFonts w:hint="eastAsia"/>
        </w:rPr>
        <w:t>）不同投标人的投标文件异常一致或者投标报价呈规律性差异；</w:t>
      </w:r>
    </w:p>
    <w:p>
      <w:pPr>
        <w:pStyle w:val="17"/>
        <w:spacing w:before="0" w:beforeAutospacing="0" w:after="0" w:afterAutospacing="0" w:line="360" w:lineRule="auto"/>
        <w:ind w:firstLine="480" w:firstLineChars="200"/>
        <w:jc w:val="both"/>
        <w:rPr>
          <w:rFonts w:cs="Times New Roman"/>
        </w:rPr>
      </w:pPr>
      <w:r>
        <w:rPr>
          <w:rFonts w:hint="eastAsia"/>
        </w:rPr>
        <w:t>（</w:t>
      </w:r>
      <w:r>
        <w:t>5</w:t>
      </w:r>
      <w:r>
        <w:rPr>
          <w:rFonts w:hint="eastAsia"/>
        </w:rPr>
        <w:t>）不同投标人的投标文件相互混装；</w:t>
      </w:r>
    </w:p>
    <w:p>
      <w:pPr>
        <w:autoSpaceDE w:val="0"/>
        <w:autoSpaceDN w:val="0"/>
        <w:adjustRightInd w:val="0"/>
        <w:spacing w:line="360" w:lineRule="auto"/>
        <w:ind w:firstLine="480" w:firstLineChars="200"/>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6、不符合法律、法规和招标文件中规定的其他实质性要求的（招标文件中打“▲”内容及被拒绝的条款）。</w:t>
      </w:r>
    </w:p>
    <w:p>
      <w:pPr>
        <w:autoSpaceDE w:val="0"/>
        <w:autoSpaceDN w:val="0"/>
        <w:adjustRightInd w:val="0"/>
        <w:spacing w:line="360" w:lineRule="auto"/>
        <w:ind w:firstLine="480" w:firstLineChars="200"/>
        <w:rPr>
          <w:rFonts w:ascii="宋体" w:cs="宋体"/>
          <w:kern w:val="0"/>
          <w:sz w:val="24"/>
          <w:szCs w:val="24"/>
        </w:rPr>
      </w:pPr>
      <w:r>
        <w:rPr>
          <w:rFonts w:hint="eastAsia" w:ascii="宋体" w:hAnsi="宋体" w:cs="宋体"/>
          <w:b/>
          <w:bCs/>
          <w:kern w:val="0"/>
          <w:sz w:val="24"/>
          <w:szCs w:val="24"/>
        </w:rPr>
        <w:t>（十）有下列情况之一的，本次招标作为废标处理</w:t>
      </w:r>
    </w:p>
    <w:p>
      <w:pPr>
        <w:pStyle w:val="17"/>
        <w:spacing w:before="0" w:beforeAutospacing="0" w:after="0" w:afterAutospacing="0" w:line="360" w:lineRule="auto"/>
        <w:ind w:firstLine="480" w:firstLineChars="200"/>
        <w:jc w:val="both"/>
        <w:rPr>
          <w:rFonts w:cs="Times New Roman"/>
        </w:rPr>
      </w:pPr>
      <w:r>
        <w:t>1</w:t>
      </w:r>
      <w:r>
        <w:rPr>
          <w:rFonts w:hint="eastAsia"/>
        </w:rPr>
        <w:t>、符合专业条件的供应商或者对招标文件作实质响应的供应商不足三家的；</w:t>
      </w:r>
    </w:p>
    <w:p>
      <w:pPr>
        <w:pStyle w:val="17"/>
        <w:spacing w:before="0" w:beforeAutospacing="0" w:after="0" w:afterAutospacing="0" w:line="360" w:lineRule="auto"/>
        <w:ind w:firstLine="480" w:firstLineChars="200"/>
        <w:jc w:val="both"/>
        <w:rPr>
          <w:rFonts w:cs="Times New Roman"/>
          <w:b/>
          <w:bCs/>
        </w:rPr>
      </w:pPr>
      <w:r>
        <w:t>2</w:t>
      </w:r>
      <w:r>
        <w:rPr>
          <w:rFonts w:hint="eastAsia"/>
        </w:rPr>
        <w:t>、出现影响采购公正的违法、违规行为的；</w:t>
      </w:r>
    </w:p>
    <w:p>
      <w:pPr>
        <w:pStyle w:val="17"/>
        <w:spacing w:before="0" w:beforeAutospacing="0" w:after="0" w:afterAutospacing="0" w:line="360" w:lineRule="auto"/>
        <w:ind w:firstLine="480" w:firstLineChars="200"/>
        <w:jc w:val="both"/>
        <w:rPr>
          <w:rFonts w:cs="Times New Roman"/>
        </w:rPr>
      </w:pPr>
      <w:r>
        <w:t>3</w:t>
      </w:r>
      <w:r>
        <w:rPr>
          <w:rFonts w:hint="eastAsia"/>
        </w:rPr>
        <w:t>、因重大变故，采购任务取消的；</w:t>
      </w:r>
    </w:p>
    <w:p>
      <w:pPr>
        <w:pStyle w:val="17"/>
        <w:spacing w:before="0" w:beforeAutospacing="0" w:after="0" w:afterAutospacing="0" w:line="360" w:lineRule="auto"/>
        <w:ind w:firstLine="480" w:firstLineChars="200"/>
        <w:jc w:val="both"/>
        <w:rPr>
          <w:rFonts w:cs="Times New Roman"/>
        </w:rPr>
      </w:pPr>
      <w:r>
        <w:t>4</w:t>
      </w:r>
      <w:r>
        <w:rPr>
          <w:rFonts w:hint="eastAsia"/>
        </w:rPr>
        <w:t>、法律、法规和招标文件规定的其他导致评标结果无效的。</w:t>
      </w:r>
    </w:p>
    <w:p>
      <w:pPr>
        <w:pStyle w:val="11"/>
        <w:tabs>
          <w:tab w:val="left" w:pos="630"/>
        </w:tabs>
        <w:snapToGrid w:val="0"/>
        <w:spacing w:line="360" w:lineRule="auto"/>
        <w:ind w:firstLine="480" w:firstLineChars="200"/>
        <w:rPr>
          <w:rFonts w:hAnsi="宋体" w:cs="Times New Roman"/>
          <w:b/>
          <w:bCs/>
          <w:sz w:val="24"/>
          <w:szCs w:val="24"/>
        </w:rPr>
      </w:pPr>
      <w:r>
        <w:rPr>
          <w:rFonts w:hint="eastAsia" w:hAnsi="宋体"/>
          <w:b/>
          <w:bCs/>
          <w:sz w:val="24"/>
          <w:szCs w:val="24"/>
        </w:rPr>
        <w:t>（十一）评标原则和评标办法</w:t>
      </w:r>
    </w:p>
    <w:p>
      <w:pPr>
        <w:pStyle w:val="11"/>
        <w:snapToGrid w:val="0"/>
        <w:spacing w:line="360" w:lineRule="auto"/>
        <w:ind w:firstLine="480" w:firstLineChars="200"/>
        <w:rPr>
          <w:rFonts w:hAnsi="宋体"/>
          <w:sz w:val="24"/>
          <w:szCs w:val="24"/>
        </w:rPr>
      </w:pPr>
      <w:r>
        <w:rPr>
          <w:rFonts w:hAnsi="宋体"/>
          <w:sz w:val="24"/>
          <w:szCs w:val="24"/>
        </w:rPr>
        <w:t>1</w:t>
      </w:r>
      <w:r>
        <w:rPr>
          <w:rFonts w:hint="eastAsia" w:hAnsi="宋体"/>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1"/>
        <w:snapToGrid w:val="0"/>
        <w:spacing w:line="360" w:lineRule="auto"/>
        <w:ind w:firstLine="480" w:firstLineChars="200"/>
        <w:rPr>
          <w:rFonts w:hAnsi="宋体" w:cs="Times New Roman"/>
          <w:sz w:val="24"/>
          <w:szCs w:val="24"/>
        </w:rPr>
      </w:pPr>
      <w:r>
        <w:rPr>
          <w:rFonts w:hint="eastAsia" w:hAnsi="宋体"/>
          <w:sz w:val="24"/>
          <w:szCs w:val="24"/>
        </w:rPr>
        <w:t>2、评标办法。具体评标内容及评分标准等详见《第三章：评标方法及评分标准》。</w:t>
      </w:r>
    </w:p>
    <w:p>
      <w:pPr>
        <w:pStyle w:val="11"/>
        <w:snapToGrid w:val="0"/>
        <w:spacing w:line="360" w:lineRule="auto"/>
        <w:ind w:firstLine="480" w:firstLineChars="200"/>
        <w:rPr>
          <w:rFonts w:hAnsi="宋体"/>
          <w:sz w:val="24"/>
          <w:szCs w:val="24"/>
        </w:rPr>
      </w:pPr>
      <w:r>
        <w:rPr>
          <w:rFonts w:hint="eastAsia" w:hAnsi="宋体"/>
          <w:sz w:val="24"/>
          <w:szCs w:val="24"/>
        </w:rPr>
        <w:t>3、评标委员会应对采购代理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11"/>
        <w:snapToGrid w:val="0"/>
        <w:spacing w:line="360" w:lineRule="auto"/>
        <w:ind w:firstLine="480" w:firstLineChars="200"/>
        <w:rPr>
          <w:rFonts w:hAnsi="宋体" w:cs="Times New Roman"/>
          <w:sz w:val="24"/>
          <w:szCs w:val="24"/>
        </w:rPr>
      </w:pPr>
      <w:r>
        <w:rPr>
          <w:rFonts w:hint="eastAsia" w:hAnsi="宋体"/>
          <w:sz w:val="24"/>
          <w:szCs w:val="24"/>
        </w:rPr>
        <w:t>4、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11"/>
        <w:snapToGrid w:val="0"/>
        <w:spacing w:line="360" w:lineRule="auto"/>
        <w:ind w:firstLine="480" w:firstLineChars="200"/>
        <w:rPr>
          <w:rFonts w:hAnsi="宋体" w:cs="Times New Roman"/>
          <w:b/>
          <w:bCs/>
          <w:sz w:val="24"/>
          <w:szCs w:val="24"/>
        </w:rPr>
      </w:pPr>
      <w:r>
        <w:rPr>
          <w:rFonts w:hint="eastAsia" w:hAnsi="宋体"/>
          <w:b/>
          <w:bCs/>
          <w:sz w:val="24"/>
          <w:szCs w:val="24"/>
        </w:rPr>
        <w:t>（十二）评标过程的监控</w:t>
      </w:r>
    </w:p>
    <w:p>
      <w:pPr>
        <w:pStyle w:val="17"/>
        <w:spacing w:before="0" w:beforeAutospacing="0" w:after="0" w:afterAutospacing="0" w:line="360" w:lineRule="auto"/>
        <w:ind w:firstLine="480" w:firstLineChars="200"/>
        <w:jc w:val="both"/>
        <w:rPr>
          <w:rFonts w:cs="Times New Roman"/>
        </w:rPr>
      </w:pPr>
      <w:r>
        <w:rPr>
          <w:rFonts w:hint="eastAsia"/>
        </w:rPr>
        <w:t>本项目评标过程实行全程录音、录像监控，政府采购监管部门视情进行现场监督，投标人在评标过程中所进行的试图影响评标结果的不公正活动，可能导致其投标被拒绝。</w:t>
      </w:r>
    </w:p>
    <w:p>
      <w:pPr>
        <w:spacing w:line="360" w:lineRule="auto"/>
        <w:jc w:val="center"/>
        <w:rPr>
          <w:rFonts w:ascii="宋体" w:hAnsi="宋体" w:cs="宋体"/>
          <w:b/>
          <w:bCs/>
          <w:sz w:val="28"/>
          <w:szCs w:val="28"/>
        </w:rPr>
      </w:pPr>
      <w:r>
        <w:rPr>
          <w:rFonts w:hint="eastAsia" w:ascii="宋体" w:hAnsi="宋体" w:cs="宋体"/>
          <w:b/>
          <w:bCs/>
          <w:sz w:val="28"/>
          <w:szCs w:val="28"/>
        </w:rPr>
        <w:t>六、定标</w:t>
      </w:r>
    </w:p>
    <w:p>
      <w:pPr>
        <w:pStyle w:val="17"/>
        <w:spacing w:before="0" w:beforeAutospacing="0" w:after="0" w:afterAutospacing="0" w:line="360" w:lineRule="auto"/>
        <w:ind w:firstLine="480" w:firstLineChars="200"/>
        <w:jc w:val="both"/>
        <w:rPr>
          <w:rFonts w:cs="Times New Roman"/>
        </w:rPr>
      </w:pPr>
      <w:r>
        <w:t>1</w:t>
      </w:r>
      <w:r>
        <w:rPr>
          <w:rFonts w:hint="eastAsia"/>
        </w:rPr>
        <w:t>、确定中标供应商。评标委员会根据采购单位的《授权意见确认书》，推荐中标候选人或确定中标人。其中推荐中标候选人的，采购代理机构在评审结束后</w:t>
      </w:r>
      <w:r>
        <w:t>2</w:t>
      </w:r>
      <w:r>
        <w:rPr>
          <w:rFonts w:hint="eastAsia"/>
        </w:rPr>
        <w:t>个工作日内将评标报告送采购人，采购人自收到评审报告之日起</w:t>
      </w:r>
      <w:r>
        <w:t>5</w:t>
      </w:r>
      <w:r>
        <w:rPr>
          <w:rFonts w:hint="eastAsia"/>
        </w:rPr>
        <w:t>个工作日内在评审报告推荐的中标候选人中按顺序确定中标人。</w:t>
      </w:r>
    </w:p>
    <w:p>
      <w:pPr>
        <w:spacing w:line="360" w:lineRule="auto"/>
        <w:ind w:firstLine="480" w:firstLineChars="200"/>
        <w:rPr>
          <w:rFonts w:ascii="宋体"/>
          <w:kern w:val="0"/>
          <w:sz w:val="24"/>
          <w:szCs w:val="24"/>
        </w:rPr>
      </w:pP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发布</w:t>
      </w:r>
      <w:r>
        <w:rPr>
          <w:rFonts w:hint="eastAsia" w:cs="宋体"/>
          <w:sz w:val="24"/>
          <w:szCs w:val="24"/>
        </w:rPr>
        <w:t>中标</w:t>
      </w:r>
      <w:r>
        <w:rPr>
          <w:rFonts w:hint="eastAsia" w:ascii="宋体" w:hAnsi="宋体" w:cs="宋体"/>
          <w:kern w:val="0"/>
          <w:sz w:val="24"/>
          <w:szCs w:val="24"/>
        </w:rPr>
        <w:t>结果公告。采购代理机构应当自中标人确定之日起</w:t>
      </w:r>
      <w:r>
        <w:rPr>
          <w:rFonts w:ascii="宋体" w:hAnsi="宋体" w:cs="宋体"/>
          <w:kern w:val="0"/>
          <w:sz w:val="24"/>
          <w:szCs w:val="24"/>
        </w:rPr>
        <w:t>2</w:t>
      </w:r>
      <w:r>
        <w:rPr>
          <w:rFonts w:hint="eastAsia" w:ascii="宋体" w:hAnsi="宋体" w:cs="宋体"/>
          <w:kern w:val="0"/>
          <w:sz w:val="24"/>
          <w:szCs w:val="24"/>
        </w:rPr>
        <w:t>个工作日内，在省级以上财政部门指定的媒体及相关网站上公告中标结果。</w:t>
      </w:r>
    </w:p>
    <w:p>
      <w:pPr>
        <w:spacing w:line="360" w:lineRule="auto"/>
        <w:ind w:firstLine="480" w:firstLineChars="200"/>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、发出中标通知书。采购代理机构在发布中标结果的同时，向中标人发出中标通知书。</w:t>
      </w:r>
      <w:r>
        <w:rPr>
          <w:rFonts w:hint="eastAsia" w:ascii="宋体" w:hAnsi="宋体" w:cs="宋体"/>
          <w:b/>
          <w:bCs/>
          <w:kern w:val="0"/>
          <w:sz w:val="24"/>
          <w:szCs w:val="24"/>
          <w:u w:val="single"/>
        </w:rPr>
        <w:t>中标人应在领取中标通知书之时按采购人要求提供纸质投标文件（采用胶装），不建议采用活页夹等可随时拆换的方式装订。</w:t>
      </w:r>
    </w:p>
    <w:p>
      <w:pPr>
        <w:spacing w:line="360" w:lineRule="auto"/>
        <w:jc w:val="center"/>
        <w:rPr>
          <w:rFonts w:ascii="宋体" w:cs="宋体"/>
          <w:b/>
          <w:bCs/>
          <w:sz w:val="28"/>
          <w:szCs w:val="28"/>
        </w:rPr>
      </w:pPr>
      <w:r>
        <w:rPr>
          <w:rFonts w:hint="eastAsia" w:ascii="宋体" w:hAnsi="宋体" w:cs="宋体"/>
          <w:b/>
          <w:bCs/>
          <w:sz w:val="28"/>
          <w:szCs w:val="28"/>
        </w:rPr>
        <w:t>七、合同签订及公告</w:t>
      </w:r>
    </w:p>
    <w:p>
      <w:pPr>
        <w:spacing w:line="360" w:lineRule="auto"/>
        <w:ind w:firstLine="480" w:firstLineChars="200"/>
        <w:rPr>
          <w:rFonts w:ascii="宋体"/>
          <w:b/>
          <w:bCs/>
          <w:kern w:val="0"/>
          <w:sz w:val="24"/>
          <w:szCs w:val="24"/>
        </w:rPr>
      </w:pPr>
      <w:r>
        <w:rPr>
          <w:rFonts w:hint="eastAsia" w:ascii="宋体" w:hAnsi="宋体" w:cs="宋体"/>
          <w:b/>
          <w:bCs/>
          <w:sz w:val="24"/>
          <w:szCs w:val="24"/>
        </w:rPr>
        <w:t>（一）签订合同</w:t>
      </w:r>
    </w:p>
    <w:p>
      <w:pPr>
        <w:pStyle w:val="17"/>
        <w:spacing w:before="0" w:beforeAutospacing="0" w:after="0" w:afterAutospacing="0" w:line="360" w:lineRule="auto"/>
        <w:ind w:firstLine="600" w:firstLineChars="250"/>
        <w:jc w:val="both"/>
        <w:rPr>
          <w:rFonts w:cs="Times New Roman"/>
        </w:rPr>
      </w:pPr>
      <w:r>
        <w:t>1</w:t>
      </w:r>
      <w:r>
        <w:rPr>
          <w:rFonts w:hint="eastAsia"/>
        </w:rPr>
        <w:t>、采购人应当自中标通知书发出之日起</w:t>
      </w:r>
      <w:r>
        <w:t>30</w:t>
      </w:r>
      <w:r>
        <w:rPr>
          <w:rFonts w:hint="eastAsia"/>
        </w:rPr>
        <w:t>日内，按照招标文件和中标人投标文件的规定，与中标人签订书面合同。所签订的合同不得对招标文件确定的事项和中标人投标文件作实质性修改。</w:t>
      </w:r>
    </w:p>
    <w:p>
      <w:pPr>
        <w:pStyle w:val="17"/>
        <w:spacing w:before="0" w:beforeAutospacing="0" w:after="0" w:afterAutospacing="0" w:line="360" w:lineRule="auto"/>
        <w:ind w:firstLine="600" w:firstLineChars="250"/>
        <w:jc w:val="both"/>
        <w:rPr>
          <w:rFonts w:cs="Times New Roman"/>
        </w:rPr>
      </w:pPr>
      <w:r>
        <w:t>2</w:t>
      </w:r>
      <w:r>
        <w:rPr>
          <w:rFonts w:hint="eastAsia"/>
        </w:rPr>
        <w:t>、采购人不得向中标人提出任何不合理的要求作为签订合同的条件。</w:t>
      </w:r>
    </w:p>
    <w:p>
      <w:pPr>
        <w:pStyle w:val="17"/>
        <w:spacing w:before="0" w:beforeAutospacing="0" w:after="0" w:afterAutospacing="0" w:line="360" w:lineRule="auto"/>
        <w:ind w:firstLine="600" w:firstLineChars="250"/>
        <w:jc w:val="both"/>
        <w:rPr>
          <w:rFonts w:cs="Times New Roman"/>
        </w:rPr>
      </w:pPr>
      <w:r>
        <w:t>3</w:t>
      </w:r>
      <w:r>
        <w:rPr>
          <w:rFonts w:hint="eastAsia"/>
        </w:rPr>
        <w:t>、中标供应商无正当理由拖延、拒签合同的</w:t>
      </w:r>
      <w:r>
        <w:rPr>
          <w:rFonts w:hint="eastAsia"/>
          <w:lang w:eastAsia="zh-CN"/>
        </w:rPr>
        <w:t>，</w:t>
      </w:r>
      <w:r>
        <w:rPr>
          <w:rFonts w:hint="eastAsia"/>
        </w:rPr>
        <w:t>按《政府采购法》及等有关规定进行处理处罚。</w:t>
      </w:r>
    </w:p>
    <w:p>
      <w:pPr>
        <w:pStyle w:val="17"/>
        <w:spacing w:before="0" w:beforeAutospacing="0" w:after="0" w:afterAutospacing="0" w:line="360" w:lineRule="auto"/>
        <w:ind w:firstLine="480" w:firstLineChars="200"/>
        <w:jc w:val="both"/>
        <w:rPr>
          <w:rFonts w:cs="Times New Roman"/>
        </w:rPr>
      </w:pPr>
      <w:r>
        <w:t>4</w:t>
      </w:r>
      <w:r>
        <w:rPr>
          <w:rFonts w:hint="eastAsia"/>
        </w:rPr>
        <w:t>、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7"/>
        <w:spacing w:before="0" w:beforeAutospacing="0" w:after="0" w:afterAutospacing="0" w:line="360" w:lineRule="auto"/>
        <w:ind w:firstLine="480" w:firstLineChars="200"/>
        <w:rPr>
          <w:rFonts w:cs="Times New Roman"/>
        </w:rPr>
      </w:pPr>
      <w:r>
        <w:t>5</w:t>
      </w:r>
      <w:r>
        <w:rPr>
          <w:rFonts w:hint="eastAsia"/>
        </w:rPr>
        <w:t>、询问或者质疑事项可能影响中标结果的，采购人应当暂停签订合同，已经签订合同的，应当中止履行合同（中标结果的质疑期为中标结果公告期限届满之日起七个工作日）。</w:t>
      </w:r>
    </w:p>
    <w:p>
      <w:pPr>
        <w:pStyle w:val="17"/>
        <w:spacing w:before="0" w:beforeAutospacing="0" w:after="0" w:afterAutospacing="0" w:line="360" w:lineRule="auto"/>
        <w:ind w:firstLine="422" w:firstLineChars="176"/>
        <w:rPr>
          <w:rFonts w:cs="Times New Roman"/>
          <w:b/>
          <w:bCs/>
        </w:rPr>
      </w:pPr>
      <w:r>
        <w:rPr>
          <w:rFonts w:hint="eastAsia"/>
          <w:b/>
          <w:bCs/>
        </w:rPr>
        <w:t>（二）合同公告及备案</w:t>
      </w:r>
    </w:p>
    <w:p>
      <w:pPr>
        <w:pStyle w:val="3"/>
        <w:spacing w:after="0" w:line="360" w:lineRule="auto"/>
        <w:ind w:left="0" w:leftChars="0"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、采购人应当自政府采购合同签订之日起</w:t>
      </w:r>
      <w:r>
        <w:rPr>
          <w:rFonts w:ascii="宋体" w:hAnsi="宋体" w:cs="宋体"/>
          <w:sz w:val="24"/>
          <w:szCs w:val="24"/>
        </w:rPr>
        <w:t>2</w:t>
      </w:r>
      <w:r>
        <w:rPr>
          <w:rFonts w:hint="eastAsia" w:ascii="宋体" w:hAnsi="宋体" w:cs="宋体"/>
          <w:sz w:val="24"/>
          <w:szCs w:val="24"/>
        </w:rPr>
        <w:t>个工作日内，</w:t>
      </w:r>
      <w:r>
        <w:rPr>
          <w:rFonts w:hint="eastAsia" w:ascii="宋体" w:hAnsi="宋体" w:cs="宋体"/>
          <w:kern w:val="0"/>
          <w:sz w:val="24"/>
          <w:szCs w:val="24"/>
        </w:rPr>
        <w:t>在省级以上财政部门指定的政府采购信息发布媒体及相关网站上公告</w:t>
      </w:r>
      <w:r>
        <w:rPr>
          <w:rFonts w:hint="eastAsia" w:ascii="宋体" w:hAnsi="宋体" w:cs="宋体"/>
          <w:sz w:val="24"/>
          <w:szCs w:val="24"/>
        </w:rPr>
        <w:t>。</w:t>
      </w:r>
    </w:p>
    <w:p>
      <w:pPr>
        <w:pStyle w:val="3"/>
        <w:spacing w:after="0" w:line="360" w:lineRule="auto"/>
        <w:ind w:left="0" w:leftChars="0"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、采购人应当自政府采购合同签订之日起</w:t>
      </w:r>
      <w:r>
        <w:rPr>
          <w:rFonts w:ascii="宋体" w:hAnsi="宋体" w:cs="宋体"/>
          <w:sz w:val="24"/>
          <w:szCs w:val="24"/>
        </w:rPr>
        <w:t>7</w:t>
      </w:r>
      <w:r>
        <w:rPr>
          <w:rFonts w:hint="eastAsia" w:ascii="宋体" w:hAnsi="宋体" w:cs="宋体"/>
          <w:sz w:val="24"/>
          <w:szCs w:val="24"/>
        </w:rPr>
        <w:t>个工作日内，将政府采购合同副本报同级人民政府财政部门备案以及采购代理机构存档。</w:t>
      </w:r>
    </w:p>
    <w:p>
      <w:pPr>
        <w:spacing w:line="360" w:lineRule="auto"/>
        <w:jc w:val="center"/>
        <w:rPr>
          <w:rFonts w:ascii="宋体" w:hAnsi="宋体" w:cs="宋体"/>
          <w:b/>
          <w:bCs/>
          <w:sz w:val="28"/>
          <w:szCs w:val="28"/>
        </w:rPr>
      </w:pPr>
      <w:r>
        <w:rPr>
          <w:rFonts w:hint="eastAsia" w:ascii="宋体" w:hAnsi="宋体" w:cs="宋体"/>
          <w:b/>
          <w:bCs/>
          <w:sz w:val="28"/>
          <w:szCs w:val="28"/>
        </w:rPr>
        <w:t>八、其他</w:t>
      </w:r>
    </w:p>
    <w:p>
      <w:pPr>
        <w:pStyle w:val="17"/>
        <w:spacing w:before="0" w:beforeAutospacing="0" w:after="0" w:afterAutospacing="0" w:line="440" w:lineRule="exact"/>
        <w:ind w:firstLine="422" w:firstLineChars="176"/>
        <w:rPr>
          <w:rFonts w:hint="eastAsia"/>
          <w:b/>
          <w:bCs/>
          <w:highlight w:val="none"/>
          <w:lang w:val="en-US" w:eastAsia="zh-CN"/>
        </w:rPr>
      </w:pPr>
      <w:r>
        <w:rPr>
          <w:rFonts w:hint="eastAsia"/>
          <w:b/>
          <w:bCs/>
          <w:highlight w:val="none"/>
          <w:lang w:val="en-US" w:eastAsia="zh-CN"/>
        </w:rPr>
        <w:t>（一）中止电子交易活动的情形</w:t>
      </w:r>
    </w:p>
    <w:p>
      <w:pPr>
        <w:pStyle w:val="3"/>
        <w:spacing w:after="0" w:line="360" w:lineRule="auto"/>
        <w:ind w:left="0" w:leftChars="0" w:firstLine="480" w:firstLineChars="200"/>
        <w:jc w:val="left"/>
        <w:rPr>
          <w:rFonts w:ascii="宋体" w:hAnsi="宋体" w:cs="宋体"/>
          <w:sz w:val="24"/>
          <w:szCs w:val="24"/>
        </w:rPr>
      </w:pPr>
      <w:r>
        <w:rPr>
          <w:rFonts w:hint="eastAsia" w:ascii="宋体" w:hAnsi="宋体" w:cs="宋体"/>
          <w:sz w:val="24"/>
          <w:szCs w:val="24"/>
        </w:rPr>
        <w:t>采购过程中出现以下情形，导致电子交易平台无法正常运行，或者无法保证电子交易的公平、公正和安全时，采购代理机构可中止电子交易活动：</w:t>
      </w:r>
    </w:p>
    <w:p>
      <w:pPr>
        <w:pStyle w:val="3"/>
        <w:spacing w:after="0" w:line="360" w:lineRule="auto"/>
        <w:ind w:left="0" w:leftChars="0" w:firstLine="480" w:firstLineChars="200"/>
        <w:jc w:val="left"/>
        <w:rPr>
          <w:rFonts w:ascii="宋体" w:hAnsi="宋体" w:cs="宋体"/>
          <w:sz w:val="24"/>
          <w:szCs w:val="24"/>
        </w:rPr>
      </w:pPr>
      <w:r>
        <w:rPr>
          <w:rFonts w:hint="eastAsia" w:ascii="宋体" w:hAnsi="宋体" w:cs="宋体"/>
          <w:sz w:val="24"/>
          <w:szCs w:val="24"/>
        </w:rPr>
        <w:t>1、电子交易平台发生故障而无法登录访问的；</w:t>
      </w:r>
    </w:p>
    <w:p>
      <w:pPr>
        <w:pStyle w:val="3"/>
        <w:spacing w:after="0" w:line="360" w:lineRule="auto"/>
        <w:ind w:left="0" w:leftChars="0" w:firstLine="480" w:firstLineChars="200"/>
        <w:jc w:val="left"/>
        <w:rPr>
          <w:rFonts w:ascii="宋体" w:hAnsi="宋体" w:cs="宋体"/>
          <w:sz w:val="24"/>
          <w:szCs w:val="24"/>
        </w:rPr>
      </w:pPr>
      <w:r>
        <w:rPr>
          <w:rFonts w:hint="eastAsia" w:ascii="宋体" w:hAnsi="宋体" w:cs="宋体"/>
          <w:sz w:val="24"/>
          <w:szCs w:val="24"/>
        </w:rPr>
        <w:t>2、电子交易平台应用或数据库出现错误，不能进行正常操作的；</w:t>
      </w:r>
    </w:p>
    <w:p>
      <w:pPr>
        <w:pStyle w:val="3"/>
        <w:spacing w:after="0" w:line="360" w:lineRule="auto"/>
        <w:ind w:left="0" w:leftChars="0" w:firstLine="480" w:firstLineChars="200"/>
        <w:jc w:val="left"/>
        <w:rPr>
          <w:rFonts w:ascii="宋体" w:hAnsi="宋体" w:cs="宋体"/>
          <w:sz w:val="24"/>
          <w:szCs w:val="24"/>
        </w:rPr>
      </w:pPr>
      <w:r>
        <w:rPr>
          <w:rFonts w:hint="eastAsia" w:ascii="宋体" w:hAnsi="宋体" w:cs="宋体"/>
          <w:sz w:val="24"/>
          <w:szCs w:val="24"/>
        </w:rPr>
        <w:t>3、电子交易平台发现严重安全漏洞，有潜在泄密危险的；</w:t>
      </w:r>
    </w:p>
    <w:p>
      <w:pPr>
        <w:pStyle w:val="3"/>
        <w:spacing w:after="0" w:line="360" w:lineRule="auto"/>
        <w:ind w:left="0" w:leftChars="0" w:firstLine="480" w:firstLineChars="200"/>
        <w:jc w:val="left"/>
        <w:rPr>
          <w:rFonts w:ascii="宋体" w:hAnsi="宋体" w:cs="宋体"/>
          <w:sz w:val="24"/>
          <w:szCs w:val="24"/>
        </w:rPr>
      </w:pPr>
      <w:r>
        <w:rPr>
          <w:rFonts w:hint="eastAsia" w:ascii="宋体" w:hAnsi="宋体" w:cs="宋体"/>
          <w:sz w:val="24"/>
          <w:szCs w:val="24"/>
        </w:rPr>
        <w:t>4、病毒发作导致不能进行正常操作的；</w:t>
      </w:r>
    </w:p>
    <w:p>
      <w:pPr>
        <w:pStyle w:val="3"/>
        <w:spacing w:after="0" w:line="360" w:lineRule="auto"/>
        <w:ind w:left="0" w:leftChars="0" w:firstLine="480" w:firstLineChars="200"/>
        <w:jc w:val="left"/>
        <w:rPr>
          <w:rFonts w:ascii="宋体" w:hAnsi="宋体" w:cs="宋体"/>
          <w:sz w:val="24"/>
          <w:szCs w:val="24"/>
        </w:rPr>
      </w:pPr>
      <w:r>
        <w:rPr>
          <w:rFonts w:hint="eastAsia" w:ascii="宋体" w:hAnsi="宋体" w:cs="宋体"/>
          <w:sz w:val="24"/>
          <w:szCs w:val="24"/>
        </w:rPr>
        <w:t>5、其他无法保证电子交易的公平、公正和安全的情况。</w:t>
      </w:r>
    </w:p>
    <w:p>
      <w:pPr>
        <w:pStyle w:val="3"/>
        <w:spacing w:after="0" w:line="360" w:lineRule="auto"/>
        <w:ind w:left="0" w:leftChars="0" w:firstLine="480" w:firstLineChars="200"/>
        <w:jc w:val="left"/>
        <w:rPr>
          <w:rFonts w:ascii="宋体" w:hAnsi="宋体" w:cs="宋体"/>
          <w:sz w:val="24"/>
          <w:szCs w:val="24"/>
        </w:rPr>
      </w:pPr>
      <w:r>
        <w:rPr>
          <w:rFonts w:hint="eastAsia" w:ascii="宋体" w:hAnsi="宋体" w:cs="宋体"/>
          <w:sz w:val="24"/>
          <w:szCs w:val="24"/>
        </w:rPr>
        <w:t>出现前款规定情形，不影响采购公平、公正性的，采购代理机构可以待上述情形消除后继续组织电子交易活动；影响或可能影响采购公平、公正性的，应当重新开展政府采购活动。</w:t>
      </w:r>
    </w:p>
    <w:p>
      <w:pPr>
        <w:pStyle w:val="17"/>
        <w:spacing w:before="0" w:beforeAutospacing="0" w:after="0" w:afterAutospacing="0" w:line="440" w:lineRule="exact"/>
        <w:ind w:firstLine="422" w:firstLineChars="176"/>
        <w:rPr>
          <w:rFonts w:hint="eastAsia"/>
          <w:b/>
          <w:bCs/>
          <w:highlight w:val="none"/>
          <w:lang w:val="en-US" w:eastAsia="zh-CN"/>
        </w:rPr>
      </w:pPr>
      <w:r>
        <w:rPr>
          <w:rFonts w:hint="eastAsia"/>
          <w:b/>
          <w:bCs/>
          <w:highlight w:val="none"/>
          <w:lang w:val="en-US" w:eastAsia="zh-CN"/>
        </w:rPr>
        <w:t>（二）信用记录</w:t>
      </w:r>
    </w:p>
    <w:p>
      <w:pPr>
        <w:pStyle w:val="3"/>
        <w:widowControl/>
        <w:numPr>
          <w:ilvl w:val="0"/>
          <w:numId w:val="0"/>
        </w:numPr>
        <w:snapToGrid/>
        <w:spacing w:after="0" w:line="440" w:lineRule="exact"/>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eastAsia="zh-CN"/>
        </w:rPr>
        <w:t>根据</w:t>
      </w:r>
      <w:r>
        <w:rPr>
          <w:rFonts w:hint="eastAsia" w:ascii="宋体" w:hAnsi="宋体" w:eastAsia="宋体" w:cs="宋体"/>
          <w:sz w:val="24"/>
          <w:szCs w:val="24"/>
        </w:rPr>
        <w:t>财库[2016]125号《关于在政府采购活动中查询及使用信用记录有关问题的通知》要求，招标代理机构会对投标人信用记录进行查询并甄别。</w:t>
      </w:r>
    </w:p>
    <w:p>
      <w:pPr>
        <w:pStyle w:val="3"/>
        <w:spacing w:after="0" w:line="440" w:lineRule="exact"/>
        <w:ind w:left="0" w:leftChars="0"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信用信息查询渠道及截止时间：采购代理机构将通过“信用中国”（www.creditchina.gov.cn）</w:t>
      </w:r>
      <w:r>
        <w:rPr>
          <w:rFonts w:hint="eastAsia" w:ascii="宋体" w:hAnsi="宋体" w:cs="宋体"/>
          <w:sz w:val="24"/>
          <w:szCs w:val="24"/>
          <w:highlight w:val="none"/>
          <w:lang w:val="en-US" w:eastAsia="zh-CN"/>
        </w:rPr>
        <w:t>、“中国政府采购网”（www.ccgp.gov.cn）</w:t>
      </w:r>
      <w:r>
        <w:rPr>
          <w:rFonts w:hint="eastAsia" w:ascii="宋体" w:hAnsi="宋体" w:eastAsia="宋体" w:cs="宋体"/>
          <w:sz w:val="24"/>
          <w:szCs w:val="24"/>
          <w:highlight w:val="none"/>
          <w:lang w:val="en-US" w:eastAsia="zh-CN"/>
        </w:rPr>
        <w:t>渠道查询投标人投标截止时间当天的信用记录。</w:t>
      </w:r>
    </w:p>
    <w:p>
      <w:pPr>
        <w:pStyle w:val="3"/>
        <w:spacing w:after="0" w:line="440" w:lineRule="exact"/>
        <w:ind w:left="0" w:leftChars="0"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信用信息查询记录和证据留存的具体方式：现场查询的投标人的信用记录、查询结果经确认后将与采购文件一起存档。</w:t>
      </w:r>
    </w:p>
    <w:p>
      <w:pPr>
        <w:pStyle w:val="3"/>
        <w:spacing w:after="0" w:line="440" w:lineRule="exact"/>
        <w:ind w:left="0" w:leftChars="0"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信用信息的使用规则：经查询列入失信被执行人名单、重大税收违法失信主体、政府采购严重违法失信行为记录名单的投标人将被拒绝参与采购活动。</w:t>
      </w:r>
    </w:p>
    <w:p>
      <w:pPr>
        <w:widowControl/>
        <w:jc w:val="center"/>
        <w:outlineLvl w:val="0"/>
        <w:rPr>
          <w:rFonts w:ascii="宋体" w:cs="宋体"/>
          <w:b/>
          <w:bCs/>
          <w:sz w:val="36"/>
          <w:szCs w:val="36"/>
        </w:rPr>
      </w:pPr>
      <w:r>
        <w:rPr>
          <w:rFonts w:hint="eastAsia" w:ascii="宋体" w:hAnsi="宋体" w:cs="宋体"/>
          <w:b/>
          <w:bCs/>
          <w:sz w:val="36"/>
          <w:szCs w:val="36"/>
        </w:rPr>
        <w:br w:type="page"/>
      </w:r>
      <w:bookmarkStart w:id="16" w:name="_Toc11236"/>
      <w:r>
        <w:rPr>
          <w:rFonts w:hint="eastAsia" w:ascii="宋体" w:hAnsi="宋体" w:cs="宋体"/>
          <w:b/>
          <w:bCs/>
          <w:sz w:val="36"/>
          <w:szCs w:val="36"/>
        </w:rPr>
        <w:t>第三章</w:t>
      </w:r>
      <w:r>
        <w:rPr>
          <w:rFonts w:ascii="宋体" w:hAnsi="宋体" w:cs="宋体"/>
          <w:b/>
          <w:bCs/>
          <w:sz w:val="36"/>
          <w:szCs w:val="36"/>
        </w:rPr>
        <w:t xml:space="preserve"> </w:t>
      </w:r>
      <w:r>
        <w:rPr>
          <w:rFonts w:hint="eastAsia" w:ascii="宋体" w:hAnsi="宋体" w:cs="宋体"/>
          <w:b/>
          <w:bCs/>
          <w:sz w:val="36"/>
          <w:szCs w:val="36"/>
        </w:rPr>
        <w:t>评标办法及评分标准</w:t>
      </w:r>
      <w:bookmarkEnd w:id="16"/>
    </w:p>
    <w:p>
      <w:pPr>
        <w:autoSpaceDE w:val="0"/>
        <w:autoSpaceDN w:val="0"/>
        <w:spacing w:line="440" w:lineRule="exact"/>
        <w:ind w:firstLine="480" w:firstLineChars="200"/>
        <w:rPr>
          <w:rFonts w:ascii="宋体" w:cs="宋体"/>
          <w:b/>
          <w:bCs/>
          <w:i/>
          <w:iCs/>
          <w:kern w:val="0"/>
          <w:sz w:val="24"/>
          <w:szCs w:val="24"/>
        </w:rPr>
      </w:pPr>
      <w:r>
        <w:rPr>
          <w:rFonts w:hint="eastAsia" w:ascii="宋体" w:hAnsi="宋体" w:cs="宋体"/>
          <w:kern w:val="0"/>
          <w:sz w:val="24"/>
          <w:szCs w:val="24"/>
        </w:rPr>
        <w:t>一、采购代理机构将组织评标委员会，对投标人提供的投标文件进行综合评审。</w:t>
      </w:r>
    </w:p>
    <w:p>
      <w:pPr>
        <w:autoSpaceDE w:val="0"/>
        <w:autoSpaceDN w:val="0"/>
        <w:spacing w:line="440" w:lineRule="exact"/>
        <w:ind w:firstLine="480" w:firstLineChars="200"/>
        <w:rPr>
          <w:b/>
          <w:bCs/>
          <w:color w:val="FF0000"/>
        </w:rPr>
      </w:pPr>
      <w:r>
        <w:rPr>
          <w:rFonts w:hint="eastAsia" w:ascii="宋体" w:hAnsi="宋体" w:cs="宋体"/>
          <w:kern w:val="0"/>
          <w:sz w:val="24"/>
          <w:szCs w:val="24"/>
        </w:rPr>
        <w:t>二、本次招标的评标方法为综合评分法，总计</w:t>
      </w:r>
      <w:r>
        <w:rPr>
          <w:rFonts w:ascii="宋体" w:hAnsi="宋体" w:cs="宋体"/>
          <w:kern w:val="0"/>
          <w:sz w:val="24"/>
          <w:szCs w:val="24"/>
        </w:rPr>
        <w:t>100</w:t>
      </w:r>
      <w:r>
        <w:rPr>
          <w:rFonts w:hint="eastAsia" w:ascii="宋体" w:hAnsi="宋体" w:cs="宋体"/>
          <w:kern w:val="0"/>
          <w:sz w:val="24"/>
          <w:szCs w:val="24"/>
        </w:rPr>
        <w:t>分。</w:t>
      </w:r>
      <w:r>
        <w:rPr>
          <w:rFonts w:hint="eastAsia" w:ascii="宋体" w:hAnsi="宋体" w:cs="宋体"/>
          <w:b/>
          <w:bCs/>
          <w:color w:val="FF0000"/>
          <w:kern w:val="0"/>
          <w:sz w:val="24"/>
          <w:szCs w:val="24"/>
        </w:rPr>
        <w:t>商务技术</w:t>
      </w:r>
      <w:r>
        <w:rPr>
          <w:rFonts w:hint="eastAsia" w:cs="宋体"/>
          <w:b/>
          <w:bCs/>
          <w:color w:val="FF0000"/>
          <w:kern w:val="0"/>
          <w:sz w:val="24"/>
          <w:szCs w:val="24"/>
        </w:rPr>
        <w:t>70</w:t>
      </w:r>
      <w:r>
        <w:rPr>
          <w:rFonts w:hint="eastAsia" w:ascii="宋体" w:hAnsi="宋体" w:cs="宋体"/>
          <w:b/>
          <w:bCs/>
          <w:color w:val="FF0000"/>
          <w:kern w:val="0"/>
          <w:sz w:val="24"/>
          <w:szCs w:val="24"/>
        </w:rPr>
        <w:t>分，报价</w:t>
      </w:r>
      <w:r>
        <w:rPr>
          <w:rFonts w:hint="eastAsia" w:cs="宋体"/>
          <w:b/>
          <w:bCs/>
          <w:color w:val="FF0000"/>
          <w:kern w:val="0"/>
          <w:sz w:val="24"/>
          <w:szCs w:val="24"/>
        </w:rPr>
        <w:t>30</w:t>
      </w:r>
      <w:r>
        <w:rPr>
          <w:rFonts w:hint="eastAsia" w:ascii="宋体" w:hAnsi="宋体" w:cs="宋体"/>
          <w:b/>
          <w:bCs/>
          <w:color w:val="FF0000"/>
          <w:kern w:val="0"/>
          <w:sz w:val="24"/>
          <w:szCs w:val="24"/>
        </w:rPr>
        <w:t>分。</w:t>
      </w:r>
    </w:p>
    <w:p>
      <w:pPr>
        <w:autoSpaceDE w:val="0"/>
        <w:autoSpaceDN w:val="0"/>
        <w:spacing w:line="440" w:lineRule="exact"/>
        <w:ind w:firstLine="480" w:firstLineChars="200"/>
        <w:rPr>
          <w:rFonts w:ascii="宋体" w:cs="宋体"/>
          <w:kern w:val="0"/>
          <w:sz w:val="24"/>
          <w:szCs w:val="24"/>
        </w:rPr>
      </w:pPr>
      <w:r>
        <w:rPr>
          <w:rFonts w:hint="eastAsia" w:ascii="宋体" w:hAnsi="宋体" w:cs="宋体"/>
          <w:kern w:val="0"/>
          <w:sz w:val="24"/>
          <w:szCs w:val="24"/>
        </w:rPr>
        <w:t>（一）商务技术文件中的客观分</w:t>
      </w:r>
      <w:r>
        <w:rPr>
          <w:rFonts w:hint="eastAsia" w:ascii="宋体" w:hAnsi="宋体" w:cs="宋体"/>
          <w:kern w:val="0"/>
          <w:sz w:val="24"/>
          <w:szCs w:val="24"/>
          <w:lang w:eastAsia="zh-CN"/>
        </w:rPr>
        <w:t>应一致</w:t>
      </w:r>
      <w:r>
        <w:rPr>
          <w:rFonts w:hint="eastAsia" w:ascii="宋体" w:hAnsi="宋体" w:cs="宋体"/>
          <w:kern w:val="0"/>
          <w:sz w:val="24"/>
          <w:szCs w:val="24"/>
        </w:rPr>
        <w:t>；其余在规定的分值内单独评定打分。</w:t>
      </w:r>
    </w:p>
    <w:p>
      <w:pPr>
        <w:autoSpaceDE w:val="0"/>
        <w:autoSpaceDN w:val="0"/>
        <w:spacing w:line="440" w:lineRule="exact"/>
        <w:ind w:firstLine="480" w:firstLineChars="200"/>
        <w:rPr>
          <w:rFonts w:ascii="宋体" w:cs="宋体"/>
          <w:kern w:val="0"/>
          <w:sz w:val="24"/>
          <w:szCs w:val="24"/>
        </w:rPr>
      </w:pPr>
      <w:r>
        <w:rPr>
          <w:rFonts w:hint="eastAsia" w:ascii="宋体" w:hAnsi="宋体" w:cs="宋体"/>
          <w:kern w:val="0"/>
          <w:sz w:val="24"/>
          <w:szCs w:val="24"/>
        </w:rPr>
        <w:t>（二）各投标人商务技术文件得分按照评标委员会成员的独立评分结果汇总后的算术平均分计算，计算公式为：</w:t>
      </w:r>
    </w:p>
    <w:p>
      <w:pPr>
        <w:autoSpaceDE w:val="0"/>
        <w:autoSpaceDN w:val="0"/>
        <w:spacing w:line="440" w:lineRule="exact"/>
        <w:ind w:firstLine="480" w:firstLineChars="200"/>
        <w:rPr>
          <w:rFonts w:ascii="宋体" w:cs="宋体"/>
          <w:kern w:val="0"/>
          <w:sz w:val="24"/>
          <w:szCs w:val="24"/>
        </w:rPr>
      </w:pPr>
      <w:r>
        <w:rPr>
          <w:rFonts w:hint="eastAsia" w:ascii="宋体" w:hAnsi="宋体" w:cs="宋体"/>
          <w:kern w:val="0"/>
          <w:sz w:val="24"/>
          <w:szCs w:val="24"/>
        </w:rPr>
        <w:t>商务技术文件得分</w:t>
      </w:r>
      <w:r>
        <w:rPr>
          <w:rFonts w:ascii="宋体" w:hAnsi="宋体" w:cs="宋体"/>
          <w:kern w:val="0"/>
          <w:sz w:val="24"/>
          <w:szCs w:val="24"/>
        </w:rPr>
        <w:t>=</w:t>
      </w:r>
      <w:r>
        <w:rPr>
          <w:rFonts w:hint="eastAsia" w:ascii="宋体" w:hAnsi="宋体" w:cs="宋体"/>
          <w:kern w:val="0"/>
          <w:sz w:val="24"/>
          <w:szCs w:val="24"/>
        </w:rPr>
        <w:t>评标委员会所有成员评分合计数</w:t>
      </w:r>
      <w:r>
        <w:rPr>
          <w:rFonts w:ascii="宋体" w:hAnsi="宋体" w:cs="宋体"/>
          <w:kern w:val="0"/>
          <w:sz w:val="24"/>
          <w:szCs w:val="24"/>
        </w:rPr>
        <w:t>/</w:t>
      </w:r>
      <w:r>
        <w:rPr>
          <w:rFonts w:hint="eastAsia" w:ascii="宋体" w:hAnsi="宋体" w:cs="宋体"/>
          <w:kern w:val="0"/>
          <w:sz w:val="24"/>
          <w:szCs w:val="24"/>
        </w:rPr>
        <w:t>评标委员会组成人员数。</w:t>
      </w:r>
    </w:p>
    <w:p>
      <w:pPr>
        <w:numPr>
          <w:ilvl w:val="0"/>
          <w:numId w:val="6"/>
        </w:numPr>
        <w:autoSpaceDE w:val="0"/>
        <w:autoSpaceDN w:val="0"/>
        <w:spacing w:line="440" w:lineRule="exact"/>
        <w:ind w:firstLine="480" w:firstLineChars="200"/>
        <w:rPr>
          <w:rFonts w:ascii="宋体" w:cs="宋体"/>
          <w:kern w:val="0"/>
          <w:sz w:val="24"/>
          <w:szCs w:val="24"/>
        </w:rPr>
      </w:pPr>
      <w:r>
        <w:rPr>
          <w:rFonts w:hint="eastAsia" w:ascii="宋体" w:hAnsi="宋体" w:cs="宋体"/>
          <w:kern w:val="0"/>
          <w:sz w:val="24"/>
          <w:szCs w:val="24"/>
        </w:rPr>
        <w:t>投标报价得分采用低价优先法计算，即满足招标文件要求且投标价格最低的投标报价为评标基准价，其报价得满分。其他投标人的投标报价得分按下列公式计算：</w:t>
      </w:r>
      <w:r>
        <w:rPr>
          <w:rFonts w:hint="eastAsia" w:ascii="宋体" w:hAnsi="宋体" w:cs="宋体"/>
          <w:kern w:val="0"/>
          <w:sz w:val="24"/>
          <w:szCs w:val="24"/>
          <w:u w:val="single"/>
        </w:rPr>
        <w:t>投标报价得分</w:t>
      </w:r>
      <w:r>
        <w:rPr>
          <w:rFonts w:ascii="宋体" w:hAnsi="宋体" w:cs="宋体"/>
          <w:kern w:val="0"/>
          <w:sz w:val="24"/>
          <w:szCs w:val="24"/>
          <w:u w:val="single"/>
        </w:rPr>
        <w:t>=</w:t>
      </w:r>
      <w:r>
        <w:rPr>
          <w:rFonts w:hint="eastAsia" w:ascii="宋体" w:hAnsi="宋体" w:cs="宋体"/>
          <w:kern w:val="0"/>
          <w:sz w:val="24"/>
          <w:szCs w:val="24"/>
          <w:u w:val="single"/>
          <w:lang w:eastAsia="zh-CN"/>
        </w:rPr>
        <w:t>（</w:t>
      </w:r>
      <w:r>
        <w:rPr>
          <w:rFonts w:hint="eastAsia" w:ascii="宋体" w:hAnsi="宋体" w:cs="宋体"/>
          <w:kern w:val="0"/>
          <w:sz w:val="24"/>
          <w:szCs w:val="24"/>
          <w:u w:val="single"/>
        </w:rPr>
        <w:t>评标基准价／投标报价</w:t>
      </w:r>
      <w:r>
        <w:rPr>
          <w:rFonts w:hint="eastAsia" w:ascii="宋体" w:hAnsi="宋体" w:cs="宋体"/>
          <w:kern w:val="0"/>
          <w:sz w:val="24"/>
          <w:szCs w:val="24"/>
          <w:u w:val="single"/>
          <w:lang w:eastAsia="zh-CN"/>
        </w:rPr>
        <w:t>）</w:t>
      </w:r>
      <w:r>
        <w:rPr>
          <w:rFonts w:hint="eastAsia" w:ascii="宋体" w:hAnsi="宋体" w:cs="宋体"/>
          <w:kern w:val="0"/>
          <w:sz w:val="24"/>
          <w:szCs w:val="24"/>
          <w:u w:val="single"/>
        </w:rPr>
        <w:t>×30</w:t>
      </w:r>
      <w:r>
        <w:rPr>
          <w:rFonts w:ascii="宋体" w:hAnsi="宋体" w:cs="宋体"/>
          <w:kern w:val="0"/>
          <w:sz w:val="24"/>
          <w:szCs w:val="24"/>
          <w:u w:val="single"/>
        </w:rPr>
        <w:t>%</w:t>
      </w:r>
      <w:r>
        <w:rPr>
          <w:rFonts w:hint="eastAsia" w:ascii="宋体" w:hAnsi="宋体" w:cs="宋体"/>
          <w:kern w:val="0"/>
          <w:sz w:val="24"/>
          <w:szCs w:val="24"/>
          <w:u w:val="single"/>
        </w:rPr>
        <w:t>×</w:t>
      </w:r>
      <w:r>
        <w:rPr>
          <w:rFonts w:ascii="宋体" w:hAnsi="宋体" w:cs="宋体"/>
          <w:kern w:val="0"/>
          <w:sz w:val="24"/>
          <w:szCs w:val="24"/>
          <w:u w:val="single"/>
        </w:rPr>
        <w:t xml:space="preserve">100 </w:t>
      </w:r>
      <w:r>
        <w:rPr>
          <w:rFonts w:hint="eastAsia" w:ascii="宋体" w:hAnsi="宋体" w:cs="宋体"/>
          <w:kern w:val="0"/>
          <w:sz w:val="24"/>
          <w:szCs w:val="24"/>
        </w:rPr>
        <w:t>。</w:t>
      </w:r>
    </w:p>
    <w:p>
      <w:pPr>
        <w:numPr>
          <w:ilvl w:val="0"/>
          <w:numId w:val="6"/>
        </w:numPr>
        <w:autoSpaceDE w:val="0"/>
        <w:autoSpaceDN w:val="0"/>
        <w:spacing w:line="440" w:lineRule="exact"/>
        <w:ind w:firstLine="480" w:firstLineChars="200"/>
        <w:rPr>
          <w:rFonts w:ascii="宋体" w:cs="宋体"/>
          <w:b/>
          <w:bCs/>
          <w:color w:val="000000"/>
          <w:kern w:val="0"/>
          <w:sz w:val="24"/>
          <w:szCs w:val="24"/>
          <w:lang w:val="zh-CN"/>
        </w:rPr>
      </w:pPr>
      <w:r>
        <w:rPr>
          <w:rFonts w:hint="eastAsia" w:ascii="宋体" w:hAnsi="宋体" w:cs="宋体"/>
          <w:b/>
          <w:bCs/>
          <w:color w:val="000000"/>
          <w:kern w:val="0"/>
          <w:sz w:val="24"/>
          <w:szCs w:val="24"/>
        </w:rPr>
        <w:t>投标人评标综合得分</w:t>
      </w:r>
      <w:r>
        <w:rPr>
          <w:rFonts w:ascii="宋体" w:hAnsi="宋体" w:cs="宋体"/>
          <w:b/>
          <w:bCs/>
          <w:color w:val="000000"/>
          <w:kern w:val="0"/>
          <w:sz w:val="24"/>
          <w:szCs w:val="24"/>
        </w:rPr>
        <w:t>=</w:t>
      </w:r>
      <w:r>
        <w:rPr>
          <w:rFonts w:hint="eastAsia" w:ascii="宋体" w:hAnsi="宋体" w:cs="宋体"/>
          <w:b/>
          <w:bCs/>
          <w:color w:val="000000"/>
          <w:kern w:val="0"/>
          <w:sz w:val="24"/>
          <w:szCs w:val="24"/>
        </w:rPr>
        <w:t>商务技术分</w:t>
      </w:r>
      <w:r>
        <w:rPr>
          <w:rFonts w:ascii="宋体" w:hAnsi="宋体" w:cs="宋体"/>
          <w:b/>
          <w:bCs/>
          <w:color w:val="000000"/>
          <w:kern w:val="0"/>
          <w:sz w:val="24"/>
          <w:szCs w:val="24"/>
        </w:rPr>
        <w:t>+</w:t>
      </w:r>
      <w:r>
        <w:rPr>
          <w:rFonts w:hint="eastAsia" w:ascii="宋体" w:hAnsi="宋体" w:cs="宋体"/>
          <w:b/>
          <w:bCs/>
          <w:color w:val="000000"/>
          <w:kern w:val="0"/>
          <w:sz w:val="24"/>
          <w:szCs w:val="24"/>
        </w:rPr>
        <w:t>报价分。</w:t>
      </w:r>
    </w:p>
    <w:p>
      <w:pPr>
        <w:autoSpaceDE w:val="0"/>
        <w:autoSpaceDN w:val="0"/>
        <w:adjustRightInd w:val="0"/>
        <w:spacing w:line="440" w:lineRule="exact"/>
        <w:ind w:firstLine="468" w:firstLineChars="195"/>
        <w:rPr>
          <w:rFonts w:ascii="宋体"/>
          <w:b/>
          <w:bCs/>
          <w:sz w:val="24"/>
          <w:szCs w:val="24"/>
          <w:shd w:val="clear" w:color="FFFFFF" w:fill="D9D9D9"/>
          <w:lang w:val="zh-CN"/>
        </w:rPr>
      </w:pPr>
      <w:r>
        <w:rPr>
          <w:rFonts w:hint="eastAsia" w:ascii="宋体" w:cs="宋体"/>
          <w:b/>
          <w:bCs/>
          <w:sz w:val="24"/>
          <w:szCs w:val="24"/>
          <w:lang w:val="zh-CN"/>
        </w:rPr>
        <w:t>注：</w:t>
      </w:r>
      <w:r>
        <w:rPr>
          <w:rFonts w:hint="eastAsia" w:ascii="宋体" w:hAnsi="宋体" w:cs="宋体"/>
          <w:b/>
          <w:bCs/>
          <w:kern w:val="0"/>
          <w:sz w:val="24"/>
        </w:rPr>
        <w:t>评分计算过程中均采用四舍五入法</w:t>
      </w:r>
      <w:r>
        <w:rPr>
          <w:rFonts w:hint="eastAsia" w:ascii="宋体" w:cs="宋体"/>
          <w:b/>
          <w:bCs/>
          <w:sz w:val="24"/>
          <w:szCs w:val="24"/>
          <w:lang w:val="zh-CN"/>
        </w:rPr>
        <w:t>，</w:t>
      </w:r>
      <w:r>
        <w:rPr>
          <w:rFonts w:hint="eastAsia" w:ascii="宋体" w:cs="宋体"/>
          <w:b/>
          <w:bCs/>
          <w:sz w:val="24"/>
          <w:szCs w:val="24"/>
        </w:rPr>
        <w:t>并</w:t>
      </w:r>
      <w:r>
        <w:rPr>
          <w:rFonts w:hint="eastAsia" w:ascii="宋体" w:cs="宋体"/>
          <w:b/>
          <w:bCs/>
          <w:sz w:val="24"/>
          <w:szCs w:val="24"/>
          <w:lang w:val="zh-CN"/>
        </w:rPr>
        <w:t>保留</w:t>
      </w:r>
      <w:r>
        <w:rPr>
          <w:rFonts w:ascii="宋体" w:cs="宋体"/>
          <w:b/>
          <w:bCs/>
          <w:sz w:val="24"/>
          <w:szCs w:val="24"/>
          <w:lang w:val="zh-CN"/>
        </w:rPr>
        <w:t>2</w:t>
      </w:r>
      <w:r>
        <w:rPr>
          <w:rFonts w:hint="eastAsia" w:ascii="宋体" w:cs="宋体"/>
          <w:b/>
          <w:bCs/>
          <w:sz w:val="24"/>
          <w:szCs w:val="24"/>
          <w:lang w:val="zh-CN"/>
        </w:rPr>
        <w:t>位小数。</w:t>
      </w:r>
    </w:p>
    <w:p>
      <w:pPr>
        <w:autoSpaceDE w:val="0"/>
        <w:autoSpaceDN w:val="0"/>
        <w:adjustRightInd w:val="0"/>
        <w:spacing w:line="440" w:lineRule="exact"/>
        <w:ind w:firstLine="480" w:firstLineChars="200"/>
        <w:rPr>
          <w:rFonts w:ascii="宋体"/>
          <w:sz w:val="24"/>
          <w:szCs w:val="24"/>
          <w:lang w:val="zh-CN"/>
        </w:rPr>
      </w:pPr>
      <w:r>
        <w:rPr>
          <w:rFonts w:hint="eastAsia" w:ascii="宋体" w:cs="宋体"/>
          <w:sz w:val="24"/>
          <w:szCs w:val="24"/>
          <w:lang w:val="zh-CN"/>
        </w:rPr>
        <w:t>三、在最大限度地满足招标文件实质性要求前提下，评标委员会按照招标文件中规定的各项因素进行综合评审后，推荐评标总得分最高的投标人为中标候选人，中标候选人只推荐一名。</w:t>
      </w:r>
    </w:p>
    <w:p>
      <w:pPr>
        <w:autoSpaceDE w:val="0"/>
        <w:autoSpaceDN w:val="0"/>
        <w:adjustRightInd w:val="0"/>
        <w:spacing w:line="440" w:lineRule="exact"/>
        <w:ind w:firstLine="480" w:firstLineChars="200"/>
        <w:rPr>
          <w:rFonts w:ascii="宋体"/>
          <w:sz w:val="24"/>
          <w:szCs w:val="24"/>
          <w:lang w:val="zh-CN"/>
        </w:rPr>
      </w:pPr>
      <w:r>
        <w:rPr>
          <w:rFonts w:hint="eastAsia" w:ascii="宋体" w:cs="宋体"/>
          <w:sz w:val="24"/>
          <w:szCs w:val="24"/>
          <w:lang w:val="zh-CN"/>
        </w:rPr>
        <w:t>四、如综合得分相同，投标报价低者为先；如综合得分且投标报价相同的，以技术性能得分较高者为先。</w:t>
      </w:r>
    </w:p>
    <w:p>
      <w:pPr>
        <w:autoSpaceDE w:val="0"/>
        <w:autoSpaceDN w:val="0"/>
        <w:adjustRightInd w:val="0"/>
        <w:spacing w:line="440" w:lineRule="exact"/>
        <w:ind w:firstLine="360" w:firstLineChars="150"/>
        <w:jc w:val="left"/>
        <w:rPr>
          <w:rFonts w:hint="eastAsia" w:ascii="宋体" w:hAnsi="宋体" w:cs="宋体"/>
          <w:b/>
          <w:bCs/>
          <w:kern w:val="0"/>
          <w:sz w:val="24"/>
          <w:szCs w:val="24"/>
        </w:rPr>
      </w:pPr>
      <w:r>
        <w:rPr>
          <w:rFonts w:hint="eastAsia" w:ascii="宋体" w:hAnsi="宋体" w:cs="宋体"/>
          <w:kern w:val="0"/>
          <w:sz w:val="24"/>
          <w:szCs w:val="24"/>
        </w:rPr>
        <w:t>五、本次评分具体分值细化条款如下表（70分）</w:t>
      </w:r>
      <w:r>
        <w:rPr>
          <w:rFonts w:hint="eastAsia" w:ascii="宋体" w:hAnsi="宋体" w:cs="宋体"/>
          <w:b/>
          <w:bCs/>
          <w:kern w:val="0"/>
          <w:sz w:val="24"/>
          <w:szCs w:val="24"/>
        </w:rPr>
        <w:t>：</w:t>
      </w:r>
    </w:p>
    <w:tbl>
      <w:tblPr>
        <w:tblStyle w:val="20"/>
        <w:tblW w:w="507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1063"/>
        <w:gridCol w:w="713"/>
        <w:gridCol w:w="63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391" w:type="pct"/>
            <w:tcBorders>
              <w:tl2br w:val="nil"/>
              <w:tr2bl w:val="nil"/>
            </w:tcBorders>
            <w:vAlign w:val="center"/>
          </w:tcPr>
          <w:p>
            <w:pPr>
              <w:jc w:val="center"/>
              <w:rPr>
                <w:rFonts w:ascii="宋体" w:hAnsi="宋体" w:cs="宋体"/>
                <w:b/>
                <w:bCs/>
                <w:sz w:val="22"/>
                <w:szCs w:val="20"/>
                <w:highlight w:val="none"/>
              </w:rPr>
            </w:pPr>
            <w:r>
              <w:rPr>
                <w:rFonts w:hint="eastAsia" w:ascii="宋体" w:hAnsi="宋体" w:cs="宋体"/>
                <w:b/>
                <w:bCs/>
                <w:sz w:val="22"/>
                <w:szCs w:val="20"/>
                <w:highlight w:val="none"/>
              </w:rPr>
              <w:t>序号</w:t>
            </w:r>
          </w:p>
        </w:tc>
        <w:tc>
          <w:tcPr>
            <w:tcW w:w="604" w:type="pct"/>
            <w:tcBorders>
              <w:tl2br w:val="nil"/>
              <w:tr2bl w:val="nil"/>
            </w:tcBorders>
            <w:vAlign w:val="center"/>
          </w:tcPr>
          <w:p>
            <w:pPr>
              <w:jc w:val="center"/>
              <w:rPr>
                <w:rFonts w:ascii="宋体" w:hAnsi="宋体" w:cs="宋体"/>
                <w:b/>
                <w:bCs/>
                <w:sz w:val="22"/>
                <w:szCs w:val="20"/>
                <w:highlight w:val="none"/>
              </w:rPr>
            </w:pPr>
            <w:r>
              <w:rPr>
                <w:rFonts w:hint="eastAsia" w:ascii="宋体" w:hAnsi="宋体" w:cs="宋体"/>
                <w:b/>
                <w:bCs/>
                <w:sz w:val="22"/>
                <w:szCs w:val="20"/>
                <w:highlight w:val="none"/>
              </w:rPr>
              <w:t>评分项目</w:t>
            </w:r>
          </w:p>
        </w:tc>
        <w:tc>
          <w:tcPr>
            <w:tcW w:w="405" w:type="pct"/>
            <w:tcBorders>
              <w:tl2br w:val="nil"/>
              <w:tr2bl w:val="nil"/>
            </w:tcBorders>
            <w:vAlign w:val="center"/>
          </w:tcPr>
          <w:p>
            <w:pPr>
              <w:jc w:val="center"/>
              <w:rPr>
                <w:rFonts w:ascii="宋体" w:hAnsi="宋体" w:cs="宋体"/>
                <w:b/>
                <w:bCs/>
                <w:sz w:val="22"/>
                <w:szCs w:val="20"/>
                <w:highlight w:val="none"/>
              </w:rPr>
            </w:pPr>
            <w:r>
              <w:rPr>
                <w:rFonts w:hint="eastAsia" w:ascii="宋体" w:hAnsi="宋体" w:cs="宋体"/>
                <w:b/>
                <w:bCs/>
                <w:sz w:val="22"/>
                <w:szCs w:val="20"/>
                <w:highlight w:val="none"/>
              </w:rPr>
              <w:t>分值</w:t>
            </w:r>
          </w:p>
        </w:tc>
        <w:tc>
          <w:tcPr>
            <w:tcW w:w="3598" w:type="pct"/>
            <w:tcBorders>
              <w:tl2br w:val="nil"/>
              <w:tr2bl w:val="nil"/>
            </w:tcBorders>
            <w:vAlign w:val="center"/>
          </w:tcPr>
          <w:p>
            <w:pPr>
              <w:jc w:val="center"/>
              <w:rPr>
                <w:rFonts w:ascii="宋体" w:hAnsi="宋体" w:cs="宋体"/>
                <w:b/>
                <w:bCs/>
                <w:sz w:val="22"/>
                <w:szCs w:val="20"/>
                <w:highlight w:val="none"/>
              </w:rPr>
            </w:pPr>
            <w:r>
              <w:rPr>
                <w:rFonts w:hint="eastAsia" w:ascii="宋体" w:hAnsi="宋体" w:cs="宋体"/>
                <w:b/>
                <w:bCs/>
                <w:sz w:val="22"/>
                <w:szCs w:val="20"/>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391" w:type="pct"/>
            <w:tcBorders>
              <w:tl2br w:val="nil"/>
              <w:tr2bl w:val="nil"/>
            </w:tcBorders>
            <w:vAlign w:val="center"/>
          </w:tcPr>
          <w:p>
            <w:pPr>
              <w:jc w:val="center"/>
              <w:rPr>
                <w:rFonts w:hint="eastAsia" w:ascii="宋体" w:hAnsi="宋体" w:eastAsia="宋体" w:cs="宋体"/>
                <w:kern w:val="2"/>
                <w:sz w:val="22"/>
                <w:szCs w:val="20"/>
                <w:highlight w:val="none"/>
                <w:lang w:val="en-US" w:eastAsia="zh-CN" w:bidi="ar-SA"/>
              </w:rPr>
            </w:pPr>
            <w:r>
              <w:rPr>
                <w:rFonts w:hint="eastAsia" w:ascii="宋体" w:hAnsi="宋体" w:cs="宋体"/>
                <w:sz w:val="22"/>
                <w:szCs w:val="20"/>
                <w:highlight w:val="none"/>
                <w:lang w:val="en-US" w:eastAsia="zh-CN"/>
              </w:rPr>
              <w:t>1</w:t>
            </w:r>
          </w:p>
        </w:tc>
        <w:tc>
          <w:tcPr>
            <w:tcW w:w="604" w:type="pct"/>
            <w:tcBorders>
              <w:tl2br w:val="nil"/>
              <w:tr2bl w:val="nil"/>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服务</w:t>
            </w:r>
          </w:p>
          <w:p>
            <w:pPr>
              <w:jc w:val="center"/>
              <w:rPr>
                <w:rFonts w:hint="eastAsia" w:ascii="宋体" w:hAnsi="宋体" w:eastAsia="宋体" w:cs="宋体"/>
                <w:kern w:val="2"/>
                <w:sz w:val="22"/>
                <w:szCs w:val="20"/>
                <w:highlight w:val="none"/>
                <w:lang w:val="en-US" w:eastAsia="zh-CN" w:bidi="ar-SA"/>
              </w:rPr>
            </w:pPr>
            <w:r>
              <w:rPr>
                <w:rFonts w:hint="eastAsia" w:ascii="宋体" w:hAnsi="宋体" w:cs="宋体"/>
                <w:sz w:val="22"/>
                <w:szCs w:val="20"/>
                <w:highlight w:val="none"/>
              </w:rPr>
              <w:t>业绩</w:t>
            </w:r>
          </w:p>
        </w:tc>
        <w:tc>
          <w:tcPr>
            <w:tcW w:w="405" w:type="pct"/>
            <w:tcBorders>
              <w:tl2br w:val="nil"/>
              <w:tr2bl w:val="nil"/>
            </w:tcBorders>
            <w:vAlign w:val="center"/>
          </w:tcPr>
          <w:p>
            <w:pPr>
              <w:jc w:val="center"/>
              <w:rPr>
                <w:rFonts w:hint="eastAsia" w:ascii="宋体" w:hAnsi="宋体" w:eastAsia="宋体" w:cs="宋体"/>
                <w:b/>
                <w:color w:val="FF0000"/>
                <w:kern w:val="2"/>
                <w:sz w:val="22"/>
                <w:szCs w:val="20"/>
                <w:highlight w:val="none"/>
                <w:lang w:val="en-US" w:eastAsia="zh-CN" w:bidi="ar-SA"/>
              </w:rPr>
            </w:pPr>
            <w:r>
              <w:rPr>
                <w:rFonts w:hint="eastAsia" w:ascii="宋体" w:hAnsi="宋体" w:cs="宋体"/>
                <w:sz w:val="22"/>
                <w:szCs w:val="20"/>
                <w:highlight w:val="none"/>
              </w:rPr>
              <w:t>3</w:t>
            </w:r>
          </w:p>
        </w:tc>
        <w:tc>
          <w:tcPr>
            <w:tcW w:w="3598" w:type="pct"/>
            <w:tcBorders>
              <w:tl2br w:val="nil"/>
              <w:tr2bl w:val="nil"/>
            </w:tcBorders>
            <w:vAlign w:val="center"/>
          </w:tcPr>
          <w:p>
            <w:pPr>
              <w:spacing w:line="300" w:lineRule="exact"/>
              <w:rPr>
                <w:rFonts w:hint="eastAsia" w:ascii="宋体" w:hAnsi="宋体" w:eastAsia="宋体" w:cs="宋体"/>
                <w:kern w:val="2"/>
                <w:sz w:val="22"/>
                <w:szCs w:val="20"/>
                <w:highlight w:val="none"/>
                <w:lang w:val="en-US" w:eastAsia="zh-CN" w:bidi="ar-SA"/>
              </w:rPr>
            </w:pPr>
            <w:r>
              <w:rPr>
                <w:rFonts w:hint="eastAsia" w:ascii="宋体" w:hAnsi="宋体" w:cs="宋体"/>
                <w:sz w:val="22"/>
                <w:szCs w:val="20"/>
                <w:highlight w:val="none"/>
              </w:rPr>
              <w:t>自</w:t>
            </w:r>
            <w:r>
              <w:rPr>
                <w:rFonts w:hint="eastAsia" w:ascii="宋体" w:hAnsi="宋体" w:cs="宋体"/>
                <w:sz w:val="22"/>
                <w:szCs w:val="20"/>
                <w:highlight w:val="none"/>
                <w:lang w:eastAsia="zh-CN"/>
              </w:rPr>
              <w:t>2021年1月1日</w:t>
            </w:r>
            <w:r>
              <w:rPr>
                <w:rFonts w:hint="eastAsia" w:ascii="宋体" w:hAnsi="宋体" w:cs="宋体"/>
                <w:sz w:val="22"/>
                <w:szCs w:val="20"/>
                <w:highlight w:val="none"/>
              </w:rPr>
              <w:t>（以合同签订时间为准）以来，提供成功创建（或复评）国家级、省级、地市级卫生乡镇（或城市）案例，国家级每个案例得1.5分，省级每个案例得1分，地市级每个案例得0.5分，本项最高得3分。</w:t>
            </w:r>
            <w:r>
              <w:rPr>
                <w:rFonts w:hint="eastAsia" w:ascii="宋体" w:hAnsi="宋体" w:cs="宋体"/>
                <w:sz w:val="22"/>
                <w:szCs w:val="20"/>
                <w:highlight w:val="none"/>
                <w:lang w:eastAsia="zh-CN"/>
              </w:rPr>
              <w:t>（</w:t>
            </w:r>
            <w:r>
              <w:rPr>
                <w:rFonts w:hint="eastAsia" w:ascii="宋体" w:hAnsi="宋体" w:cs="宋体"/>
                <w:b/>
                <w:bCs/>
                <w:sz w:val="22"/>
                <w:szCs w:val="20"/>
                <w:highlight w:val="none"/>
              </w:rPr>
              <w:t>注：须提供以下证明材料：1、项目合同；2、相关创建成功案例证明材料（网上公示的可提供网页截图）；二者缺一不可，否则不得分，相关资料复印件均应编入商务技术文件中。请按照：A业绩合同、A业绩创建成功证明材料；B业绩合同……这样的顺序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6" w:hRule="atLeast"/>
        </w:trPr>
        <w:tc>
          <w:tcPr>
            <w:tcW w:w="391" w:type="pct"/>
            <w:tcBorders>
              <w:tl2br w:val="nil"/>
              <w:tr2bl w:val="nil"/>
            </w:tcBorders>
            <w:vAlign w:val="center"/>
          </w:tcPr>
          <w:p>
            <w:pPr>
              <w:jc w:val="center"/>
              <w:rPr>
                <w:rFonts w:hint="eastAsia" w:ascii="宋体" w:hAnsi="宋体" w:eastAsia="宋体" w:cs="宋体"/>
                <w:sz w:val="22"/>
                <w:szCs w:val="20"/>
                <w:highlight w:val="none"/>
                <w:lang w:eastAsia="zh-CN"/>
              </w:rPr>
            </w:pPr>
            <w:r>
              <w:rPr>
                <w:rFonts w:hint="eastAsia" w:ascii="宋体" w:hAnsi="宋体" w:cs="宋体"/>
                <w:sz w:val="22"/>
                <w:szCs w:val="20"/>
                <w:highlight w:val="none"/>
                <w:lang w:val="en-US" w:eastAsia="zh-CN"/>
              </w:rPr>
              <w:t>2</w:t>
            </w:r>
          </w:p>
        </w:tc>
        <w:tc>
          <w:tcPr>
            <w:tcW w:w="604" w:type="pct"/>
            <w:tcBorders>
              <w:tl2br w:val="nil"/>
              <w:tr2bl w:val="nil"/>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拟投入技术力量</w:t>
            </w:r>
          </w:p>
        </w:tc>
        <w:tc>
          <w:tcPr>
            <w:tcW w:w="405" w:type="pct"/>
            <w:tcBorders>
              <w:tl2br w:val="nil"/>
              <w:tr2bl w:val="nil"/>
            </w:tcBorders>
            <w:vAlign w:val="center"/>
          </w:tcPr>
          <w:p>
            <w:pPr>
              <w:jc w:val="center"/>
              <w:rPr>
                <w:rFonts w:ascii="宋体" w:hAnsi="宋体" w:cs="宋体"/>
                <w:color w:val="000000" w:themeColor="text1"/>
                <w:sz w:val="22"/>
                <w:szCs w:val="20"/>
                <w:highlight w:val="none"/>
              </w:rPr>
            </w:pPr>
            <w:r>
              <w:rPr>
                <w:rFonts w:hint="eastAsia" w:ascii="宋体" w:hAnsi="宋体" w:cs="宋体"/>
                <w:color w:val="000000" w:themeColor="text1"/>
                <w:sz w:val="22"/>
                <w:szCs w:val="20"/>
                <w:highlight w:val="none"/>
              </w:rPr>
              <w:t>16</w:t>
            </w:r>
          </w:p>
        </w:tc>
        <w:tc>
          <w:tcPr>
            <w:tcW w:w="3598" w:type="pct"/>
            <w:tcBorders>
              <w:tl2br w:val="nil"/>
              <w:tr2bl w:val="nil"/>
            </w:tcBorders>
            <w:vAlign w:val="center"/>
          </w:tcPr>
          <w:p>
            <w:pPr>
              <w:spacing w:line="300" w:lineRule="exact"/>
              <w:rPr>
                <w:rFonts w:ascii="宋体" w:hAnsi="宋体" w:cs="宋体"/>
                <w:sz w:val="22"/>
                <w:highlight w:val="none"/>
              </w:rPr>
            </w:pPr>
            <w:r>
              <w:rPr>
                <w:rFonts w:hint="eastAsia" w:ascii="宋体" w:hAnsi="宋体" w:cs="宋体"/>
                <w:sz w:val="22"/>
                <w:highlight w:val="none"/>
              </w:rPr>
              <w:t>1.拟派作业人员持有有害生物防制高级</w:t>
            </w:r>
            <w:r>
              <w:rPr>
                <w:rFonts w:hint="eastAsia" w:ascii="宋体" w:hAnsi="宋体" w:cs="宋体"/>
                <w:sz w:val="22"/>
                <w:highlight w:val="none"/>
                <w:lang w:eastAsia="zh-CN"/>
              </w:rPr>
              <w:t>（</w:t>
            </w:r>
            <w:r>
              <w:rPr>
                <w:rFonts w:hint="eastAsia" w:ascii="宋体" w:hAnsi="宋体" w:cs="宋体"/>
                <w:sz w:val="22"/>
                <w:highlight w:val="none"/>
              </w:rPr>
              <w:t>三级）资质证书技术人员，每提供一名得2分，本项最高得6分；</w:t>
            </w:r>
          </w:p>
          <w:p>
            <w:pPr>
              <w:spacing w:line="300" w:lineRule="exact"/>
              <w:rPr>
                <w:rFonts w:ascii="宋体" w:hAnsi="宋体" w:cs="宋体"/>
                <w:sz w:val="22"/>
                <w:highlight w:val="none"/>
              </w:rPr>
            </w:pPr>
            <w:r>
              <w:rPr>
                <w:rFonts w:hint="eastAsia" w:ascii="宋体" w:hAnsi="宋体" w:cs="宋体"/>
                <w:sz w:val="22"/>
                <w:highlight w:val="none"/>
              </w:rPr>
              <w:t>2.拟派作业人员持有害生物防制中级（四级）资质证书技术人员，每提供一名得1.5分，本项最高得6分；</w:t>
            </w:r>
          </w:p>
          <w:p>
            <w:pPr>
              <w:spacing w:line="300" w:lineRule="exact"/>
              <w:rPr>
                <w:rFonts w:ascii="宋体" w:hAnsi="宋体" w:cs="宋体"/>
                <w:sz w:val="22"/>
                <w:highlight w:val="none"/>
              </w:rPr>
            </w:pPr>
            <w:r>
              <w:rPr>
                <w:rFonts w:hint="eastAsia" w:ascii="宋体" w:hAnsi="宋体" w:cs="宋体"/>
                <w:sz w:val="22"/>
                <w:highlight w:val="none"/>
              </w:rPr>
              <w:t>3.拟派作业人员持有害生物防制初级（五级）资质证书技术人员，每提供一名得1分，本项最高得4分；</w:t>
            </w:r>
          </w:p>
          <w:p>
            <w:pPr>
              <w:spacing w:line="300" w:lineRule="exact"/>
              <w:rPr>
                <w:rFonts w:ascii="宋体" w:hAnsi="宋体" w:cs="宋体"/>
                <w:b/>
                <w:bCs/>
                <w:sz w:val="22"/>
                <w:highlight w:val="none"/>
              </w:rPr>
            </w:pPr>
            <w:r>
              <w:rPr>
                <w:rFonts w:hint="eastAsia" w:ascii="宋体" w:hAnsi="宋体" w:cs="宋体"/>
                <w:b/>
                <w:bCs/>
                <w:sz w:val="22"/>
                <w:highlight w:val="none"/>
              </w:rPr>
              <w:t>注</w:t>
            </w:r>
            <w:r>
              <w:rPr>
                <w:rFonts w:hint="eastAsia" w:ascii="宋体" w:hAnsi="宋体" w:cs="宋体"/>
                <w:b/>
                <w:bCs/>
                <w:sz w:val="22"/>
                <w:highlight w:val="none"/>
                <w:lang w:eastAsia="zh-CN"/>
              </w:rPr>
              <w:t>：</w:t>
            </w:r>
            <w:r>
              <w:rPr>
                <w:rFonts w:hint="eastAsia" w:ascii="宋体" w:hAnsi="宋体" w:cs="宋体"/>
                <w:b/>
                <w:bCs/>
                <w:sz w:val="22"/>
                <w:highlight w:val="none"/>
              </w:rPr>
              <w:t>高级可代中级或初级、中级可代初级，</w:t>
            </w:r>
            <w:r>
              <w:rPr>
                <w:rFonts w:hint="eastAsia" w:ascii="宋体" w:hAnsi="宋体" w:cs="宋体"/>
                <w:b/>
                <w:bCs/>
                <w:color w:val="FF0000"/>
                <w:sz w:val="22"/>
                <w:szCs w:val="20"/>
                <w:highlight w:val="none"/>
              </w:rPr>
              <w:t>上述人员不可重复。</w:t>
            </w:r>
          </w:p>
          <w:p>
            <w:pPr>
              <w:spacing w:line="300" w:lineRule="exact"/>
              <w:rPr>
                <w:rFonts w:ascii="宋体" w:hAnsi="宋体" w:cs="宋体"/>
                <w:sz w:val="22"/>
                <w:highlight w:val="none"/>
              </w:rPr>
            </w:pPr>
            <w:r>
              <w:rPr>
                <w:rFonts w:hint="eastAsia" w:ascii="宋体" w:hAnsi="宋体" w:cs="宋体"/>
                <w:sz w:val="22"/>
                <w:highlight w:val="none"/>
              </w:rPr>
              <w:t>（</w:t>
            </w:r>
            <w:r>
              <w:rPr>
                <w:rFonts w:hint="eastAsia" w:ascii="宋体" w:hAnsi="宋体" w:cs="宋体"/>
                <w:b/>
                <w:bCs/>
                <w:sz w:val="22"/>
                <w:highlight w:val="none"/>
              </w:rPr>
              <w:t>本项评分最高16分，至少提供8名拟派技术人员，须同时提供相关证书复印件和投标截止时间前6个月内的代缴个税税单或参加社会保险的《投保单》或《社会保险参保人员证明》等证明，投标文件中需提供相关清晰可辨复印件，否则不得分。</w:t>
            </w:r>
            <w:r>
              <w:rPr>
                <w:rFonts w:hint="eastAsia" w:ascii="宋体" w:hAnsi="宋体" w:cs="宋体"/>
                <w:sz w:val="22"/>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391" w:type="pct"/>
            <w:tcBorders>
              <w:tl2br w:val="nil"/>
              <w:tr2bl w:val="nil"/>
            </w:tcBorders>
            <w:vAlign w:val="center"/>
          </w:tcPr>
          <w:p>
            <w:pPr>
              <w:jc w:val="center"/>
              <w:rPr>
                <w:rFonts w:hint="eastAsia" w:ascii="宋体" w:hAnsi="宋体" w:eastAsia="宋体" w:cs="宋体"/>
                <w:kern w:val="2"/>
                <w:sz w:val="22"/>
                <w:szCs w:val="20"/>
                <w:highlight w:val="none"/>
                <w:lang w:val="en-US" w:eastAsia="zh-CN" w:bidi="ar-SA"/>
              </w:rPr>
            </w:pPr>
            <w:r>
              <w:rPr>
                <w:rFonts w:hint="eastAsia" w:ascii="宋体" w:hAnsi="宋体" w:cs="宋体"/>
                <w:sz w:val="22"/>
                <w:szCs w:val="20"/>
                <w:highlight w:val="none"/>
                <w:lang w:val="en-US" w:eastAsia="zh-CN"/>
              </w:rPr>
              <w:t>3</w:t>
            </w:r>
          </w:p>
        </w:tc>
        <w:tc>
          <w:tcPr>
            <w:tcW w:w="604" w:type="pct"/>
            <w:tcBorders>
              <w:tl2br w:val="nil"/>
              <w:tr2bl w:val="nil"/>
            </w:tcBorders>
            <w:vAlign w:val="center"/>
          </w:tcPr>
          <w:p>
            <w:pPr>
              <w:jc w:val="center"/>
              <w:rPr>
                <w:rFonts w:ascii="宋体" w:hAnsi="宋体" w:eastAsia="宋体" w:cs="宋体"/>
                <w:kern w:val="2"/>
                <w:sz w:val="22"/>
                <w:szCs w:val="20"/>
                <w:highlight w:val="none"/>
                <w:lang w:val="en-US" w:eastAsia="zh-CN" w:bidi="ar-SA"/>
              </w:rPr>
            </w:pPr>
            <w:r>
              <w:rPr>
                <w:rFonts w:hint="eastAsia" w:ascii="宋体" w:hAnsi="宋体" w:cs="宋体"/>
                <w:sz w:val="22"/>
                <w:szCs w:val="20"/>
                <w:highlight w:val="none"/>
              </w:rPr>
              <w:t>内部组织管理制度</w:t>
            </w:r>
          </w:p>
        </w:tc>
        <w:tc>
          <w:tcPr>
            <w:tcW w:w="405" w:type="pct"/>
            <w:tcBorders>
              <w:tl2br w:val="nil"/>
              <w:tr2bl w:val="nil"/>
            </w:tcBorders>
            <w:vAlign w:val="center"/>
          </w:tcPr>
          <w:p>
            <w:pPr>
              <w:jc w:val="center"/>
              <w:rPr>
                <w:rFonts w:ascii="宋体" w:hAnsi="宋体" w:eastAsia="宋体" w:cs="宋体"/>
                <w:kern w:val="2"/>
                <w:sz w:val="22"/>
                <w:szCs w:val="20"/>
                <w:highlight w:val="none"/>
                <w:lang w:val="en-US" w:eastAsia="zh-CN" w:bidi="ar-SA"/>
              </w:rPr>
            </w:pPr>
            <w:r>
              <w:rPr>
                <w:rFonts w:hint="eastAsia" w:ascii="宋体" w:hAnsi="宋体" w:cs="宋体"/>
                <w:sz w:val="22"/>
                <w:szCs w:val="20"/>
                <w:highlight w:val="none"/>
              </w:rPr>
              <w:t>2</w:t>
            </w:r>
          </w:p>
        </w:tc>
        <w:tc>
          <w:tcPr>
            <w:tcW w:w="3598" w:type="pct"/>
            <w:tcBorders>
              <w:tl2br w:val="nil"/>
              <w:tr2bl w:val="nil"/>
            </w:tcBorders>
            <w:vAlign w:val="center"/>
          </w:tcPr>
          <w:p>
            <w:pPr>
              <w:spacing w:line="300" w:lineRule="exact"/>
              <w:rPr>
                <w:rFonts w:ascii="宋体" w:hAnsi="宋体" w:eastAsia="宋体" w:cs="宋体"/>
                <w:kern w:val="2"/>
                <w:sz w:val="22"/>
                <w:szCs w:val="21"/>
                <w:highlight w:val="none"/>
                <w:lang w:val="en-US" w:eastAsia="zh-CN" w:bidi="ar-SA"/>
              </w:rPr>
            </w:pPr>
            <w:r>
              <w:rPr>
                <w:rFonts w:hint="eastAsia" w:ascii="宋体" w:hAnsi="宋体" w:cs="宋体"/>
                <w:sz w:val="22"/>
                <w:highlight w:val="none"/>
                <w:lang w:eastAsia="zh-CN"/>
              </w:rPr>
              <w:t>根据投标人是否具有</w:t>
            </w:r>
            <w:r>
              <w:rPr>
                <w:rFonts w:hint="eastAsia" w:ascii="宋体" w:hAnsi="宋体" w:cs="宋体"/>
                <w:sz w:val="22"/>
                <w:highlight w:val="none"/>
              </w:rPr>
              <w:t>有完善的内部组织管理制度</w:t>
            </w:r>
            <w:r>
              <w:rPr>
                <w:rFonts w:hint="eastAsia" w:ascii="宋体" w:hAnsi="宋体" w:cs="宋体"/>
                <w:sz w:val="22"/>
                <w:highlight w:val="none"/>
                <w:lang w:eastAsia="zh-CN"/>
              </w:rPr>
              <w:t>，包含但不仅限于</w:t>
            </w:r>
            <w:r>
              <w:rPr>
                <w:rFonts w:hint="eastAsia" w:ascii="宋体" w:hAnsi="宋体" w:cs="宋体"/>
                <w:sz w:val="22"/>
                <w:highlight w:val="none"/>
              </w:rPr>
              <w:t>工作考勤、监督管理机制及奖罚管理</w:t>
            </w:r>
            <w:r>
              <w:rPr>
                <w:rFonts w:hint="eastAsia" w:ascii="宋体" w:hAnsi="宋体" w:cs="宋体"/>
                <w:sz w:val="22"/>
                <w:highlight w:val="none"/>
                <w:lang w:eastAsia="zh-CN"/>
              </w:rPr>
              <w:t>（</w:t>
            </w:r>
            <w:r>
              <w:rPr>
                <w:rFonts w:hint="eastAsia" w:ascii="宋体" w:hAnsi="宋体" w:cs="宋体"/>
                <w:sz w:val="22"/>
                <w:highlight w:val="none"/>
                <w:lang w:val="en-US" w:eastAsia="zh-CN"/>
              </w:rPr>
              <w:t>0-2分</w:t>
            </w:r>
            <w:r>
              <w:rPr>
                <w:rFonts w:hint="eastAsia" w:ascii="宋体" w:hAnsi="宋体" w:cs="宋体"/>
                <w:sz w:val="22"/>
                <w:highlight w:val="none"/>
                <w:lang w:eastAsia="zh-CN"/>
              </w:rPr>
              <w:t>）</w:t>
            </w:r>
            <w:r>
              <w:rPr>
                <w:rFonts w:hint="eastAsia" w:ascii="宋体" w:hAnsi="宋体" w:cs="宋体"/>
                <w:sz w:val="22"/>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6" w:hRule="atLeast"/>
        </w:trPr>
        <w:tc>
          <w:tcPr>
            <w:tcW w:w="391" w:type="pct"/>
            <w:tcBorders>
              <w:tl2br w:val="nil"/>
              <w:tr2bl w:val="nil"/>
            </w:tcBorders>
            <w:vAlign w:val="center"/>
          </w:tcPr>
          <w:p>
            <w:pPr>
              <w:jc w:val="center"/>
              <w:rPr>
                <w:rFonts w:hint="eastAsia" w:ascii="宋体" w:hAnsi="宋体" w:eastAsia="宋体" w:cs="宋体"/>
                <w:sz w:val="22"/>
                <w:szCs w:val="20"/>
                <w:highlight w:val="none"/>
                <w:lang w:eastAsia="zh-CN"/>
              </w:rPr>
            </w:pPr>
            <w:r>
              <w:rPr>
                <w:rFonts w:hint="eastAsia" w:ascii="宋体" w:hAnsi="宋体" w:cs="宋体"/>
                <w:sz w:val="22"/>
                <w:szCs w:val="20"/>
                <w:highlight w:val="none"/>
                <w:lang w:val="en-US" w:eastAsia="zh-CN"/>
              </w:rPr>
              <w:t>4</w:t>
            </w:r>
          </w:p>
        </w:tc>
        <w:tc>
          <w:tcPr>
            <w:tcW w:w="604" w:type="pct"/>
            <w:tcBorders>
              <w:tl2br w:val="nil"/>
              <w:tr2bl w:val="nil"/>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技术</w:t>
            </w:r>
          </w:p>
          <w:p>
            <w:pPr>
              <w:jc w:val="center"/>
              <w:rPr>
                <w:rFonts w:ascii="宋体" w:hAnsi="宋体" w:cs="宋体"/>
                <w:sz w:val="22"/>
                <w:szCs w:val="20"/>
                <w:highlight w:val="none"/>
              </w:rPr>
            </w:pPr>
            <w:r>
              <w:rPr>
                <w:rFonts w:hint="eastAsia" w:ascii="宋体" w:hAnsi="宋体" w:cs="宋体"/>
                <w:sz w:val="22"/>
                <w:szCs w:val="20"/>
                <w:highlight w:val="none"/>
              </w:rPr>
              <w:t>方案</w:t>
            </w:r>
          </w:p>
        </w:tc>
        <w:tc>
          <w:tcPr>
            <w:tcW w:w="405" w:type="pct"/>
            <w:tcBorders>
              <w:tl2br w:val="nil"/>
              <w:tr2bl w:val="nil"/>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15</w:t>
            </w:r>
          </w:p>
        </w:tc>
        <w:tc>
          <w:tcPr>
            <w:tcW w:w="3598" w:type="pct"/>
            <w:tcBorders>
              <w:tl2br w:val="nil"/>
              <w:tr2bl w:val="nil"/>
            </w:tcBorders>
            <w:vAlign w:val="center"/>
          </w:tcPr>
          <w:p>
            <w:pPr>
              <w:spacing w:line="300" w:lineRule="exact"/>
              <w:rPr>
                <w:rFonts w:ascii="宋体" w:hAnsi="宋体" w:cs="宋体"/>
                <w:sz w:val="22"/>
                <w:highlight w:val="none"/>
              </w:rPr>
            </w:pPr>
            <w:r>
              <w:rPr>
                <w:rFonts w:hint="eastAsia" w:ascii="宋体" w:hAnsi="宋体" w:cs="宋体"/>
                <w:sz w:val="22"/>
                <w:highlight w:val="none"/>
              </w:rPr>
              <w:t>根据以下内容，各投标文件所附技术方案进行评分：下述各项评分内容最高得分均为3分，评标委员会根据方案内容进行打分。</w:t>
            </w:r>
          </w:p>
          <w:p>
            <w:pPr>
              <w:spacing w:line="300" w:lineRule="exact"/>
              <w:rPr>
                <w:rFonts w:ascii="宋体" w:hAnsi="宋体" w:cs="宋体"/>
                <w:sz w:val="22"/>
                <w:highlight w:val="none"/>
              </w:rPr>
            </w:pPr>
            <w:r>
              <w:rPr>
                <w:rFonts w:hint="eastAsia" w:ascii="宋体" w:hAnsi="宋体" w:cs="宋体"/>
                <w:sz w:val="22"/>
                <w:highlight w:val="none"/>
              </w:rPr>
              <w:t>1、各村</w:t>
            </w:r>
            <w:r>
              <w:rPr>
                <w:rFonts w:hint="eastAsia" w:ascii="宋体" w:hAnsi="宋体" w:cs="宋体"/>
                <w:sz w:val="22"/>
                <w:highlight w:val="none"/>
                <w:lang w:eastAsia="zh-CN"/>
              </w:rPr>
              <w:t>（重点描述除四害村）</w:t>
            </w:r>
            <w:r>
              <w:rPr>
                <w:rFonts w:hint="eastAsia" w:ascii="宋体" w:hAnsi="宋体" w:cs="宋体"/>
                <w:sz w:val="22"/>
                <w:highlight w:val="none"/>
              </w:rPr>
              <w:t>、建筑、外环境的特点认识情况。</w:t>
            </w:r>
          </w:p>
          <w:p>
            <w:pPr>
              <w:spacing w:line="300" w:lineRule="exact"/>
              <w:rPr>
                <w:rFonts w:ascii="宋体" w:hAnsi="宋体" w:cs="宋体"/>
                <w:sz w:val="22"/>
                <w:highlight w:val="none"/>
              </w:rPr>
            </w:pPr>
            <w:r>
              <w:rPr>
                <w:rFonts w:hint="eastAsia" w:ascii="宋体" w:hAnsi="宋体" w:cs="宋体"/>
                <w:sz w:val="22"/>
                <w:highlight w:val="none"/>
              </w:rPr>
              <w:t>2、防治对象、种类、孳生地调查、密度监测控制方法。</w:t>
            </w:r>
          </w:p>
          <w:p>
            <w:pPr>
              <w:spacing w:line="300" w:lineRule="exact"/>
              <w:rPr>
                <w:rFonts w:ascii="宋体" w:hAnsi="宋体" w:cs="宋体"/>
                <w:sz w:val="22"/>
                <w:highlight w:val="none"/>
              </w:rPr>
            </w:pPr>
            <w:r>
              <w:rPr>
                <w:rFonts w:hint="eastAsia" w:ascii="宋体" w:hAnsi="宋体" w:cs="宋体"/>
                <w:sz w:val="22"/>
                <w:highlight w:val="none"/>
              </w:rPr>
              <w:t>3、可操作性情况。</w:t>
            </w:r>
          </w:p>
          <w:p>
            <w:pPr>
              <w:spacing w:line="300" w:lineRule="exact"/>
              <w:rPr>
                <w:rFonts w:ascii="宋体" w:hAnsi="宋体" w:cs="宋体"/>
                <w:sz w:val="22"/>
                <w:highlight w:val="none"/>
              </w:rPr>
            </w:pPr>
            <w:r>
              <w:rPr>
                <w:rFonts w:hint="eastAsia" w:ascii="宋体" w:hAnsi="宋体" w:cs="宋体"/>
                <w:sz w:val="22"/>
                <w:highlight w:val="none"/>
              </w:rPr>
              <w:t>4、选择药物的合理性和安全性，依据不同环境采用药物的种类、量</w:t>
            </w:r>
            <w:r>
              <w:rPr>
                <w:rFonts w:hint="eastAsia" w:ascii="宋体" w:hAnsi="宋体" w:cs="宋体"/>
                <w:sz w:val="22"/>
                <w:highlight w:val="none"/>
                <w:lang w:eastAsia="zh-CN"/>
              </w:rPr>
              <w:t>及</w:t>
            </w:r>
            <w:r>
              <w:rPr>
                <w:rFonts w:hint="eastAsia" w:ascii="宋体" w:hAnsi="宋体" w:cs="宋体"/>
                <w:sz w:val="22"/>
                <w:highlight w:val="none"/>
              </w:rPr>
              <w:t>使用方法（项目中使用的药物需列明清单，含药物名称和使用量）。</w:t>
            </w:r>
          </w:p>
          <w:p>
            <w:pPr>
              <w:spacing w:line="300" w:lineRule="exact"/>
              <w:rPr>
                <w:rFonts w:ascii="宋体" w:hAnsi="宋体" w:cs="宋体"/>
                <w:sz w:val="22"/>
                <w:highlight w:val="none"/>
              </w:rPr>
            </w:pPr>
            <w:r>
              <w:rPr>
                <w:rFonts w:hint="eastAsia" w:ascii="宋体" w:hAnsi="宋体" w:cs="宋体"/>
                <w:sz w:val="22"/>
                <w:highlight w:val="none"/>
              </w:rPr>
              <w:t>5、所采取的技术和方法适应外环境情况。</w:t>
            </w:r>
          </w:p>
          <w:p>
            <w:pPr>
              <w:spacing w:line="300" w:lineRule="exact"/>
              <w:rPr>
                <w:rFonts w:ascii="宋体" w:hAnsi="宋体" w:cs="宋体"/>
                <w:sz w:val="22"/>
                <w:highlight w:val="none"/>
              </w:rPr>
            </w:pPr>
          </w:p>
          <w:p>
            <w:pPr>
              <w:spacing w:line="300" w:lineRule="exact"/>
              <w:rPr>
                <w:highlight w:val="none"/>
              </w:rPr>
            </w:pPr>
            <w:r>
              <w:rPr>
                <w:rFonts w:hint="eastAsia" w:ascii="宋体" w:hAnsi="宋体" w:cs="宋体"/>
                <w:sz w:val="22"/>
                <w:highlight w:val="none"/>
              </w:rPr>
              <w:t>注：每缺一项内容扣3分。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1" w:type="pct"/>
            <w:tcBorders>
              <w:tl2br w:val="nil"/>
              <w:tr2bl w:val="nil"/>
            </w:tcBorders>
            <w:vAlign w:val="center"/>
          </w:tcPr>
          <w:p>
            <w:pPr>
              <w:jc w:val="center"/>
              <w:rPr>
                <w:rFonts w:hint="eastAsia" w:ascii="宋体" w:hAnsi="宋体" w:eastAsia="宋体" w:cs="宋体"/>
                <w:sz w:val="22"/>
                <w:szCs w:val="20"/>
                <w:highlight w:val="none"/>
                <w:lang w:eastAsia="zh-CN"/>
              </w:rPr>
            </w:pPr>
            <w:r>
              <w:rPr>
                <w:rFonts w:hint="eastAsia" w:ascii="宋体" w:hAnsi="宋体" w:cs="宋体"/>
                <w:sz w:val="22"/>
                <w:szCs w:val="20"/>
                <w:highlight w:val="none"/>
                <w:lang w:val="en-US" w:eastAsia="zh-CN"/>
              </w:rPr>
              <w:t>5</w:t>
            </w:r>
          </w:p>
        </w:tc>
        <w:tc>
          <w:tcPr>
            <w:tcW w:w="604" w:type="pct"/>
            <w:tcBorders>
              <w:tl2br w:val="nil"/>
              <w:tr2bl w:val="nil"/>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实施</w:t>
            </w:r>
          </w:p>
          <w:p>
            <w:pPr>
              <w:jc w:val="center"/>
              <w:rPr>
                <w:rFonts w:ascii="宋体" w:hAnsi="宋体" w:cs="宋体"/>
                <w:sz w:val="22"/>
                <w:szCs w:val="20"/>
                <w:highlight w:val="none"/>
              </w:rPr>
            </w:pPr>
            <w:r>
              <w:rPr>
                <w:rFonts w:hint="eastAsia" w:ascii="宋体" w:hAnsi="宋体" w:cs="宋体"/>
                <w:sz w:val="22"/>
                <w:szCs w:val="20"/>
                <w:highlight w:val="none"/>
              </w:rPr>
              <w:t>方案</w:t>
            </w:r>
          </w:p>
        </w:tc>
        <w:tc>
          <w:tcPr>
            <w:tcW w:w="405" w:type="pct"/>
            <w:tcBorders>
              <w:tl2br w:val="nil"/>
              <w:tr2bl w:val="nil"/>
            </w:tcBorders>
            <w:vAlign w:val="center"/>
          </w:tcPr>
          <w:p>
            <w:pPr>
              <w:jc w:val="center"/>
              <w:rPr>
                <w:rFonts w:hint="default" w:ascii="宋体" w:hAnsi="宋体" w:eastAsia="宋体" w:cs="宋体"/>
                <w:sz w:val="22"/>
                <w:szCs w:val="20"/>
                <w:highlight w:val="none"/>
                <w:lang w:val="en-US" w:eastAsia="zh-CN"/>
              </w:rPr>
            </w:pPr>
            <w:r>
              <w:rPr>
                <w:rFonts w:hint="eastAsia" w:ascii="宋体" w:hAnsi="宋体" w:cs="宋体"/>
                <w:sz w:val="22"/>
                <w:szCs w:val="20"/>
                <w:highlight w:val="none"/>
                <w:lang w:val="en-US" w:eastAsia="zh-CN"/>
              </w:rPr>
              <w:t>20</w:t>
            </w:r>
          </w:p>
        </w:tc>
        <w:tc>
          <w:tcPr>
            <w:tcW w:w="3598" w:type="pct"/>
            <w:tcBorders>
              <w:tl2br w:val="nil"/>
              <w:tr2bl w:val="nil"/>
            </w:tcBorders>
            <w:vAlign w:val="center"/>
          </w:tcPr>
          <w:p>
            <w:pPr>
              <w:spacing w:line="300" w:lineRule="exact"/>
              <w:rPr>
                <w:rFonts w:ascii="宋体" w:hAnsi="宋体" w:cs="宋体"/>
                <w:sz w:val="22"/>
                <w:highlight w:val="none"/>
              </w:rPr>
            </w:pPr>
            <w:r>
              <w:rPr>
                <w:rFonts w:hint="eastAsia" w:ascii="宋体" w:hAnsi="宋体" w:cs="宋体"/>
                <w:sz w:val="22"/>
                <w:highlight w:val="none"/>
              </w:rPr>
              <w:t>根据以下内容，各投标文件所附实施方案进行评分：下述各项评分内容最高得分均为2.5分，评标委员会根据方案内容进行打分。</w:t>
            </w:r>
          </w:p>
          <w:p>
            <w:pPr>
              <w:spacing w:line="300" w:lineRule="exact"/>
              <w:rPr>
                <w:rFonts w:ascii="宋体" w:hAnsi="宋体" w:cs="宋体"/>
                <w:sz w:val="22"/>
                <w:highlight w:val="none"/>
              </w:rPr>
            </w:pPr>
          </w:p>
          <w:p>
            <w:pPr>
              <w:spacing w:line="300" w:lineRule="exact"/>
              <w:rPr>
                <w:rFonts w:ascii="宋体" w:hAnsi="宋体" w:cs="宋体"/>
                <w:sz w:val="22"/>
                <w:highlight w:val="none"/>
              </w:rPr>
            </w:pPr>
            <w:r>
              <w:rPr>
                <w:rFonts w:hint="eastAsia" w:ascii="宋体" w:hAnsi="宋体" w:cs="宋体"/>
                <w:sz w:val="22"/>
                <w:highlight w:val="none"/>
              </w:rPr>
              <w:t>1、完成病媒生物防制工作总体思路的完整性、正确性，实施细则的完善性。</w:t>
            </w:r>
          </w:p>
          <w:p>
            <w:pPr>
              <w:spacing w:line="300" w:lineRule="exact"/>
              <w:rPr>
                <w:rFonts w:ascii="宋体" w:hAnsi="宋体" w:cs="宋体"/>
                <w:sz w:val="22"/>
                <w:highlight w:val="none"/>
              </w:rPr>
            </w:pPr>
            <w:r>
              <w:rPr>
                <w:rFonts w:hint="eastAsia" w:ascii="宋体" w:hAnsi="宋体" w:cs="宋体"/>
                <w:sz w:val="22"/>
                <w:highlight w:val="none"/>
              </w:rPr>
              <w:t>2、对病媒生物防制防治工作特点的认识情况。</w:t>
            </w:r>
          </w:p>
          <w:p>
            <w:pPr>
              <w:spacing w:line="300" w:lineRule="exact"/>
              <w:rPr>
                <w:rFonts w:ascii="宋体" w:hAnsi="宋体" w:cs="宋体"/>
                <w:sz w:val="22"/>
                <w:highlight w:val="none"/>
              </w:rPr>
            </w:pPr>
            <w:r>
              <w:rPr>
                <w:rFonts w:hint="eastAsia" w:ascii="宋体" w:hAnsi="宋体" w:cs="宋体"/>
                <w:sz w:val="22"/>
                <w:highlight w:val="none"/>
              </w:rPr>
              <w:t>3、对每种害虫防治工作周期安排的合理性。</w:t>
            </w:r>
          </w:p>
          <w:p>
            <w:pPr>
              <w:spacing w:line="300" w:lineRule="exact"/>
              <w:rPr>
                <w:rFonts w:ascii="宋体" w:hAnsi="宋体" w:cs="宋体"/>
                <w:sz w:val="22"/>
                <w:highlight w:val="none"/>
              </w:rPr>
            </w:pPr>
            <w:r>
              <w:rPr>
                <w:rFonts w:hint="eastAsia" w:ascii="宋体" w:hAnsi="宋体" w:cs="宋体"/>
                <w:sz w:val="22"/>
                <w:highlight w:val="none"/>
              </w:rPr>
              <w:t>4、对每种害虫密度监测计划安排、监测方法是否科学合理。</w:t>
            </w:r>
          </w:p>
          <w:p>
            <w:pPr>
              <w:spacing w:line="300" w:lineRule="exact"/>
              <w:rPr>
                <w:rFonts w:ascii="宋体" w:hAnsi="宋体" w:cs="宋体"/>
                <w:sz w:val="22"/>
                <w:highlight w:val="none"/>
              </w:rPr>
            </w:pPr>
            <w:r>
              <w:rPr>
                <w:rFonts w:hint="eastAsia" w:ascii="宋体" w:hAnsi="宋体" w:cs="宋体"/>
                <w:sz w:val="22"/>
                <w:highlight w:val="none"/>
              </w:rPr>
              <w:t>5、人员组织和设备安排情况。</w:t>
            </w:r>
          </w:p>
          <w:p>
            <w:pPr>
              <w:spacing w:line="300" w:lineRule="exact"/>
              <w:rPr>
                <w:rFonts w:hint="eastAsia" w:ascii="宋体" w:hAnsi="宋体" w:cs="宋体"/>
                <w:sz w:val="22"/>
                <w:highlight w:val="none"/>
              </w:rPr>
            </w:pPr>
            <w:r>
              <w:rPr>
                <w:rFonts w:hint="eastAsia" w:ascii="宋体" w:hAnsi="宋体" w:cs="宋体"/>
                <w:sz w:val="22"/>
                <w:highlight w:val="none"/>
              </w:rPr>
              <w:t>6、对资料的收集和分析情况。</w:t>
            </w:r>
          </w:p>
          <w:p>
            <w:pPr>
              <w:spacing w:line="300" w:lineRule="exact"/>
              <w:rPr>
                <w:rFonts w:hint="eastAsia" w:ascii="宋体" w:hAnsi="宋体" w:cs="宋体"/>
                <w:sz w:val="22"/>
                <w:highlight w:val="none"/>
              </w:rPr>
            </w:pPr>
            <w:r>
              <w:rPr>
                <w:rFonts w:hint="eastAsia" w:ascii="宋体" w:hAnsi="宋体" w:cs="宋体"/>
                <w:sz w:val="22"/>
                <w:highlight w:val="none"/>
              </w:rPr>
              <w:t>7、“病媒生物防制”培训、宣传方案安排科学合理。</w:t>
            </w:r>
          </w:p>
          <w:p>
            <w:pPr>
              <w:spacing w:line="300" w:lineRule="exact"/>
              <w:rPr>
                <w:rFonts w:hint="eastAsia" w:ascii="宋体" w:hAnsi="宋体" w:cs="宋体"/>
                <w:sz w:val="22"/>
                <w:highlight w:val="none"/>
                <w:lang w:val="en-US" w:eastAsia="zh-CN"/>
              </w:rPr>
            </w:pPr>
            <w:r>
              <w:rPr>
                <w:rFonts w:hint="eastAsia" w:ascii="宋体" w:hAnsi="宋体" w:cs="宋体"/>
                <w:sz w:val="22"/>
                <w:highlight w:val="none"/>
                <w:lang w:val="en-US" w:eastAsia="zh-CN"/>
              </w:rPr>
              <w:t>8、除四害村建设方案是否科学合理。</w:t>
            </w:r>
          </w:p>
          <w:p>
            <w:pPr>
              <w:spacing w:line="300" w:lineRule="exact"/>
              <w:rPr>
                <w:rFonts w:ascii="宋体" w:hAnsi="宋体" w:cs="宋体"/>
                <w:sz w:val="22"/>
                <w:highlight w:val="none"/>
              </w:rPr>
            </w:pPr>
          </w:p>
          <w:p>
            <w:pPr>
              <w:spacing w:line="300" w:lineRule="exact"/>
              <w:rPr>
                <w:highlight w:val="none"/>
              </w:rPr>
            </w:pPr>
            <w:r>
              <w:rPr>
                <w:rFonts w:hint="eastAsia" w:ascii="宋体" w:hAnsi="宋体" w:cs="宋体"/>
                <w:sz w:val="22"/>
                <w:highlight w:val="none"/>
              </w:rPr>
              <w:t>注：每缺一项内容扣2.5分。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391" w:type="pct"/>
            <w:tcBorders>
              <w:tl2br w:val="nil"/>
              <w:tr2bl w:val="nil"/>
            </w:tcBorders>
            <w:vAlign w:val="center"/>
          </w:tcPr>
          <w:p>
            <w:pPr>
              <w:jc w:val="center"/>
              <w:rPr>
                <w:rFonts w:ascii="宋体" w:hAnsi="宋体" w:cs="宋体"/>
                <w:sz w:val="22"/>
                <w:szCs w:val="20"/>
                <w:highlight w:val="none"/>
              </w:rPr>
            </w:pPr>
            <w:r>
              <w:rPr>
                <w:rFonts w:hint="eastAsia" w:ascii="宋体" w:hAnsi="宋体" w:cs="宋体"/>
                <w:sz w:val="22"/>
                <w:szCs w:val="20"/>
                <w:highlight w:val="none"/>
                <w:lang w:val="en-US" w:eastAsia="zh-CN"/>
              </w:rPr>
              <w:t>6</w:t>
            </w:r>
            <w:r>
              <w:rPr>
                <w:rFonts w:hint="eastAsia" w:ascii="宋体" w:hAnsi="宋体" w:cs="宋体"/>
                <w:sz w:val="22"/>
                <w:szCs w:val="20"/>
                <w:highlight w:val="none"/>
              </w:rPr>
              <w:t>.1</w:t>
            </w:r>
          </w:p>
        </w:tc>
        <w:tc>
          <w:tcPr>
            <w:tcW w:w="604" w:type="pct"/>
            <w:vMerge w:val="restart"/>
            <w:tcBorders>
              <w:tl2br w:val="nil"/>
              <w:tr2bl w:val="nil"/>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项目需求和服务承诺</w:t>
            </w:r>
          </w:p>
        </w:tc>
        <w:tc>
          <w:tcPr>
            <w:tcW w:w="405" w:type="pct"/>
            <w:tcBorders>
              <w:tl2br w:val="nil"/>
              <w:tr2bl w:val="nil"/>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3</w:t>
            </w:r>
          </w:p>
        </w:tc>
        <w:tc>
          <w:tcPr>
            <w:tcW w:w="3598" w:type="pct"/>
            <w:tcBorders>
              <w:tl2br w:val="nil"/>
              <w:tr2bl w:val="nil"/>
            </w:tcBorders>
            <w:vAlign w:val="center"/>
          </w:tcPr>
          <w:p>
            <w:pPr>
              <w:spacing w:line="300" w:lineRule="exact"/>
              <w:rPr>
                <w:rFonts w:ascii="宋体" w:hAnsi="宋体" w:cs="宋体"/>
                <w:sz w:val="22"/>
                <w:szCs w:val="20"/>
                <w:highlight w:val="none"/>
              </w:rPr>
            </w:pPr>
            <w:r>
              <w:rPr>
                <w:rFonts w:hint="eastAsia" w:ascii="宋体" w:hAnsi="宋体" w:cs="宋体"/>
                <w:sz w:val="22"/>
                <w:szCs w:val="20"/>
                <w:highlight w:val="none"/>
              </w:rPr>
              <w:t>供应商承诺中标后在服务辖区设立服务站点，拟派常驻技术人员在满足有1人的基础上，每增加1人加1分，最高累计得分不超过3分。（</w:t>
            </w:r>
            <w:r>
              <w:rPr>
                <w:rFonts w:hint="eastAsia" w:ascii="宋体" w:hAnsi="宋体" w:cs="宋体"/>
                <w:b/>
                <w:bCs/>
                <w:sz w:val="22"/>
                <w:szCs w:val="20"/>
                <w:highlight w:val="none"/>
              </w:rPr>
              <w:t>须根据项目实际情况，按</w:t>
            </w:r>
            <w:r>
              <w:rPr>
                <w:rFonts w:hint="eastAsia" w:ascii="宋体" w:hAnsi="宋体" w:cs="宋体"/>
                <w:b/>
                <w:bCs/>
                <w:sz w:val="22"/>
                <w:szCs w:val="20"/>
                <w:highlight w:val="none"/>
                <w:lang w:eastAsia="zh-CN"/>
              </w:rPr>
              <w:t>乡镇</w:t>
            </w:r>
            <w:r>
              <w:rPr>
                <w:rFonts w:hint="eastAsia" w:ascii="宋体" w:hAnsi="宋体" w:cs="宋体"/>
                <w:b/>
                <w:bCs/>
                <w:sz w:val="22"/>
                <w:szCs w:val="20"/>
                <w:highlight w:val="none"/>
              </w:rPr>
              <w:t>实际消杀范围配备人员</w:t>
            </w:r>
            <w:r>
              <w:rPr>
                <w:rFonts w:hint="eastAsia" w:ascii="宋体" w:hAnsi="宋体" w:cs="宋体"/>
                <w:b/>
                <w:bCs/>
                <w:sz w:val="22"/>
                <w:szCs w:val="20"/>
                <w:highlight w:val="none"/>
                <w:lang w:eastAsia="zh-CN"/>
              </w:rPr>
              <w:t>，投标时提供承诺函</w:t>
            </w:r>
            <w:r>
              <w:rPr>
                <w:rFonts w:hint="eastAsia" w:ascii="宋体" w:hAnsi="宋体" w:cs="宋体"/>
                <w:b/>
                <w:bCs/>
                <w:sz w:val="22"/>
                <w:szCs w:val="20"/>
                <w:highlight w:val="none"/>
              </w:rPr>
              <w:t>，否则不得分</w:t>
            </w:r>
            <w:r>
              <w:rPr>
                <w:rFonts w:hint="eastAsia" w:ascii="宋体" w:hAnsi="宋体" w:cs="宋体"/>
                <w:sz w:val="22"/>
                <w:szCs w:val="20"/>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63" w:hRule="atLeast"/>
        </w:trPr>
        <w:tc>
          <w:tcPr>
            <w:tcW w:w="391" w:type="pct"/>
            <w:tcBorders>
              <w:tl2br w:val="nil"/>
              <w:tr2bl w:val="nil"/>
            </w:tcBorders>
            <w:vAlign w:val="center"/>
          </w:tcPr>
          <w:p>
            <w:pPr>
              <w:jc w:val="center"/>
              <w:rPr>
                <w:rFonts w:ascii="宋体" w:hAnsi="宋体" w:cs="宋体"/>
                <w:sz w:val="22"/>
                <w:szCs w:val="20"/>
                <w:highlight w:val="none"/>
              </w:rPr>
            </w:pPr>
            <w:r>
              <w:rPr>
                <w:rFonts w:hint="eastAsia" w:ascii="宋体" w:hAnsi="宋体" w:cs="宋体"/>
                <w:sz w:val="22"/>
                <w:szCs w:val="20"/>
                <w:highlight w:val="none"/>
                <w:lang w:val="en-US" w:eastAsia="zh-CN"/>
              </w:rPr>
              <w:t>6</w:t>
            </w:r>
            <w:r>
              <w:rPr>
                <w:rFonts w:hint="eastAsia" w:ascii="宋体" w:hAnsi="宋体" w:cs="宋体"/>
                <w:sz w:val="22"/>
                <w:szCs w:val="20"/>
                <w:highlight w:val="none"/>
              </w:rPr>
              <w:t>.2</w:t>
            </w:r>
          </w:p>
        </w:tc>
        <w:tc>
          <w:tcPr>
            <w:tcW w:w="604" w:type="pct"/>
            <w:vMerge w:val="continue"/>
            <w:tcBorders>
              <w:tl2br w:val="nil"/>
              <w:tr2bl w:val="nil"/>
            </w:tcBorders>
            <w:vAlign w:val="center"/>
          </w:tcPr>
          <w:p>
            <w:pPr>
              <w:rPr>
                <w:rFonts w:ascii="宋体" w:hAnsi="宋体" w:cs="宋体"/>
                <w:sz w:val="22"/>
                <w:szCs w:val="20"/>
                <w:highlight w:val="none"/>
              </w:rPr>
            </w:pPr>
          </w:p>
        </w:tc>
        <w:tc>
          <w:tcPr>
            <w:tcW w:w="405" w:type="pct"/>
            <w:tcBorders>
              <w:tl2br w:val="nil"/>
              <w:tr2bl w:val="nil"/>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4</w:t>
            </w:r>
          </w:p>
        </w:tc>
        <w:tc>
          <w:tcPr>
            <w:tcW w:w="3598" w:type="pct"/>
            <w:tcBorders>
              <w:tl2br w:val="nil"/>
              <w:tr2bl w:val="nil"/>
            </w:tcBorders>
            <w:vAlign w:val="center"/>
          </w:tcPr>
          <w:p>
            <w:pPr>
              <w:spacing w:line="300" w:lineRule="exact"/>
              <w:rPr>
                <w:rFonts w:ascii="宋体" w:hAnsi="宋体" w:cs="宋体"/>
                <w:sz w:val="22"/>
                <w:highlight w:val="none"/>
              </w:rPr>
            </w:pPr>
            <w:r>
              <w:rPr>
                <w:rFonts w:hint="eastAsia" w:ascii="宋体" w:hAnsi="宋体" w:cs="宋体"/>
                <w:sz w:val="22"/>
                <w:highlight w:val="none"/>
              </w:rPr>
              <w:t>对服务质量、应急反应时间以及优惠条件承诺情况进行打分。</w:t>
            </w:r>
          </w:p>
          <w:p>
            <w:pPr>
              <w:numPr>
                <w:ilvl w:val="0"/>
                <w:numId w:val="7"/>
              </w:numPr>
              <w:spacing w:line="300" w:lineRule="exact"/>
              <w:rPr>
                <w:rFonts w:hint="eastAsia" w:ascii="宋体" w:hAnsi="宋体" w:cs="宋体"/>
                <w:sz w:val="22"/>
                <w:highlight w:val="none"/>
                <w:lang w:val="en-US" w:eastAsia="zh-CN"/>
              </w:rPr>
            </w:pPr>
            <w:r>
              <w:rPr>
                <w:rFonts w:hint="eastAsia" w:ascii="宋体" w:hAnsi="宋体" w:cs="宋体"/>
                <w:sz w:val="22"/>
                <w:szCs w:val="20"/>
                <w:highlight w:val="none"/>
              </w:rPr>
              <w:t>投标人提供的服务承诺内容全面，响应时间及时，服务质量承诺切实可行的，得3.1-4</w:t>
            </w:r>
            <w:r>
              <w:rPr>
                <w:rFonts w:hint="eastAsia" w:ascii="宋体" w:hAnsi="宋体" w:cs="宋体"/>
                <w:sz w:val="22"/>
                <w:highlight w:val="none"/>
              </w:rPr>
              <w:t>分；</w:t>
            </w:r>
          </w:p>
          <w:p>
            <w:pPr>
              <w:numPr>
                <w:ilvl w:val="0"/>
                <w:numId w:val="7"/>
              </w:numPr>
              <w:spacing w:line="300" w:lineRule="exact"/>
              <w:rPr>
                <w:rFonts w:ascii="宋体" w:hAnsi="宋体" w:cs="宋体"/>
                <w:sz w:val="22"/>
                <w:highlight w:val="none"/>
              </w:rPr>
            </w:pPr>
            <w:r>
              <w:rPr>
                <w:rFonts w:hint="eastAsia" w:ascii="宋体" w:hAnsi="宋体" w:cs="宋体"/>
                <w:sz w:val="22"/>
                <w:szCs w:val="20"/>
                <w:highlight w:val="none"/>
              </w:rPr>
              <w:t>投标人提供的服务承诺内容较全面，响应时间较及时，服务质量承诺较可行的，得2.1-3</w:t>
            </w:r>
            <w:r>
              <w:rPr>
                <w:rFonts w:hint="eastAsia" w:ascii="宋体" w:hAnsi="宋体" w:cs="宋体"/>
                <w:sz w:val="22"/>
                <w:highlight w:val="none"/>
              </w:rPr>
              <w:t>分；</w:t>
            </w:r>
          </w:p>
          <w:p>
            <w:pPr>
              <w:spacing w:line="300" w:lineRule="exact"/>
              <w:rPr>
                <w:rFonts w:ascii="宋体" w:hAnsi="宋体" w:cs="宋体"/>
                <w:sz w:val="20"/>
                <w:szCs w:val="20"/>
                <w:highlight w:val="none"/>
              </w:rPr>
            </w:pPr>
            <w:r>
              <w:rPr>
                <w:rFonts w:hint="eastAsia" w:ascii="宋体" w:hAnsi="宋体" w:cs="宋体"/>
                <w:sz w:val="22"/>
                <w:szCs w:val="20"/>
                <w:highlight w:val="none"/>
                <w:lang w:val="en-US" w:eastAsia="zh-CN"/>
              </w:rPr>
              <w:t>3、</w:t>
            </w:r>
            <w:r>
              <w:rPr>
                <w:rFonts w:hint="eastAsia" w:ascii="宋体" w:hAnsi="宋体" w:cs="宋体"/>
                <w:sz w:val="22"/>
                <w:szCs w:val="20"/>
                <w:highlight w:val="none"/>
              </w:rPr>
              <w:t>投标人提供的服务承诺内容一般，响应时间基本能满足项目所需的，得</w:t>
            </w:r>
            <w:r>
              <w:rPr>
                <w:rFonts w:hint="eastAsia" w:ascii="宋体" w:hAnsi="宋体" w:cs="宋体"/>
                <w:sz w:val="22"/>
                <w:highlight w:val="none"/>
              </w:rPr>
              <w:t>0-2分。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80" w:hRule="atLeast"/>
        </w:trPr>
        <w:tc>
          <w:tcPr>
            <w:tcW w:w="391" w:type="pct"/>
            <w:tcBorders>
              <w:tl2br w:val="nil"/>
              <w:tr2bl w:val="nil"/>
            </w:tcBorders>
            <w:vAlign w:val="center"/>
          </w:tcPr>
          <w:p>
            <w:pPr>
              <w:spacing w:line="300" w:lineRule="exact"/>
              <w:jc w:val="center"/>
              <w:rPr>
                <w:rFonts w:hint="eastAsia" w:ascii="宋体" w:hAnsi="宋体" w:eastAsia="宋体" w:cs="宋体"/>
                <w:sz w:val="22"/>
                <w:szCs w:val="20"/>
                <w:highlight w:val="none"/>
                <w:lang w:eastAsia="zh-CN"/>
              </w:rPr>
            </w:pPr>
            <w:r>
              <w:rPr>
                <w:rFonts w:hint="eastAsia" w:ascii="宋体" w:hAnsi="宋体" w:cs="宋体"/>
                <w:sz w:val="22"/>
                <w:szCs w:val="20"/>
                <w:highlight w:val="none"/>
                <w:lang w:val="en-US" w:eastAsia="zh-CN"/>
              </w:rPr>
              <w:t>7</w:t>
            </w:r>
          </w:p>
        </w:tc>
        <w:tc>
          <w:tcPr>
            <w:tcW w:w="604" w:type="pct"/>
            <w:tcBorders>
              <w:tl2br w:val="nil"/>
              <w:tr2bl w:val="nil"/>
            </w:tcBorders>
            <w:vAlign w:val="center"/>
          </w:tcPr>
          <w:p>
            <w:pPr>
              <w:spacing w:line="300" w:lineRule="exact"/>
              <w:jc w:val="center"/>
              <w:rPr>
                <w:rFonts w:ascii="宋体" w:hAnsi="宋体" w:cs="宋体"/>
                <w:sz w:val="22"/>
                <w:szCs w:val="20"/>
                <w:highlight w:val="none"/>
              </w:rPr>
            </w:pPr>
            <w:r>
              <w:rPr>
                <w:rFonts w:hint="eastAsia" w:ascii="宋体" w:hAnsi="宋体" w:cs="宋体"/>
                <w:sz w:val="22"/>
                <w:szCs w:val="20"/>
                <w:highlight w:val="none"/>
              </w:rPr>
              <w:t>应急</w:t>
            </w:r>
          </w:p>
          <w:p>
            <w:pPr>
              <w:spacing w:line="300" w:lineRule="exact"/>
              <w:jc w:val="center"/>
              <w:rPr>
                <w:rFonts w:ascii="宋体" w:hAnsi="宋体" w:cs="宋体"/>
                <w:sz w:val="22"/>
                <w:szCs w:val="20"/>
                <w:highlight w:val="none"/>
              </w:rPr>
            </w:pPr>
            <w:r>
              <w:rPr>
                <w:rFonts w:hint="eastAsia" w:ascii="宋体" w:hAnsi="宋体" w:cs="宋体"/>
                <w:sz w:val="22"/>
                <w:szCs w:val="20"/>
                <w:highlight w:val="none"/>
              </w:rPr>
              <w:t>预案</w:t>
            </w:r>
          </w:p>
        </w:tc>
        <w:tc>
          <w:tcPr>
            <w:tcW w:w="405" w:type="pct"/>
            <w:tcBorders>
              <w:tl2br w:val="nil"/>
              <w:tr2bl w:val="nil"/>
            </w:tcBorders>
            <w:vAlign w:val="center"/>
          </w:tcPr>
          <w:p>
            <w:pPr>
              <w:spacing w:line="300" w:lineRule="exact"/>
              <w:jc w:val="center"/>
              <w:rPr>
                <w:rFonts w:ascii="宋体" w:hAnsi="宋体" w:cs="宋体"/>
                <w:sz w:val="22"/>
                <w:szCs w:val="20"/>
                <w:highlight w:val="none"/>
              </w:rPr>
            </w:pPr>
            <w:r>
              <w:rPr>
                <w:rFonts w:hint="eastAsia" w:ascii="宋体" w:hAnsi="宋体" w:cs="宋体"/>
                <w:sz w:val="22"/>
                <w:szCs w:val="20"/>
                <w:highlight w:val="none"/>
              </w:rPr>
              <w:t>5</w:t>
            </w:r>
          </w:p>
        </w:tc>
        <w:tc>
          <w:tcPr>
            <w:tcW w:w="3598" w:type="pct"/>
            <w:tcBorders>
              <w:tl2br w:val="nil"/>
              <w:tr2bl w:val="nil"/>
            </w:tcBorders>
            <w:vAlign w:val="center"/>
          </w:tcPr>
          <w:p>
            <w:pPr>
              <w:spacing w:line="300" w:lineRule="exact"/>
              <w:rPr>
                <w:rFonts w:hint="eastAsia" w:ascii="宋体" w:hAnsi="宋体" w:cs="宋体"/>
                <w:sz w:val="22"/>
                <w:highlight w:val="none"/>
              </w:rPr>
            </w:pPr>
            <w:r>
              <w:rPr>
                <w:rFonts w:hint="eastAsia" w:ascii="宋体" w:hAnsi="宋体" w:cs="宋体"/>
                <w:sz w:val="22"/>
                <w:highlight w:val="none"/>
              </w:rPr>
              <w:t>药物中毒处置预案及发生病媒疫情时的处置预案有针对性，可行性。</w:t>
            </w:r>
          </w:p>
          <w:p>
            <w:pPr>
              <w:spacing w:line="300" w:lineRule="exact"/>
              <w:rPr>
                <w:rFonts w:ascii="宋体" w:hAnsi="宋体" w:cs="宋体"/>
                <w:sz w:val="22"/>
                <w:szCs w:val="20"/>
                <w:highlight w:val="none"/>
              </w:rPr>
            </w:pPr>
            <w:r>
              <w:rPr>
                <w:rFonts w:hint="eastAsia" w:ascii="宋体" w:hAnsi="宋体" w:cs="宋体"/>
                <w:sz w:val="22"/>
                <w:highlight w:val="none"/>
                <w:lang w:val="en-US" w:eastAsia="zh-CN"/>
              </w:rPr>
              <w:t>1、</w:t>
            </w:r>
            <w:r>
              <w:rPr>
                <w:rFonts w:hint="eastAsia" w:ascii="宋体" w:hAnsi="宋体" w:cs="宋体"/>
                <w:sz w:val="22"/>
                <w:szCs w:val="20"/>
                <w:highlight w:val="none"/>
              </w:rPr>
              <w:t>投标人提供的应急预案内容全面，有针对性，方案科学合理，可操作性强的，得4.1-5分；</w:t>
            </w:r>
          </w:p>
          <w:p>
            <w:pPr>
              <w:spacing w:line="300" w:lineRule="exact"/>
              <w:rPr>
                <w:rFonts w:hint="eastAsia" w:ascii="宋体" w:hAnsi="宋体" w:cs="宋体"/>
                <w:sz w:val="22"/>
                <w:szCs w:val="20"/>
                <w:highlight w:val="none"/>
              </w:rPr>
            </w:pPr>
            <w:r>
              <w:rPr>
                <w:rFonts w:hint="eastAsia" w:ascii="宋体" w:hAnsi="宋体" w:cs="宋体"/>
                <w:sz w:val="22"/>
                <w:szCs w:val="20"/>
                <w:highlight w:val="none"/>
                <w:lang w:val="en-US" w:eastAsia="zh-CN"/>
              </w:rPr>
              <w:t>2、</w:t>
            </w:r>
            <w:r>
              <w:rPr>
                <w:rFonts w:hint="eastAsia" w:ascii="宋体" w:hAnsi="宋体" w:cs="宋体"/>
                <w:sz w:val="22"/>
                <w:szCs w:val="20"/>
                <w:highlight w:val="none"/>
              </w:rPr>
              <w:t>投标人提供的应急预案内容较全面，针对性较强，可操作性较强的，得2.1-4分；</w:t>
            </w:r>
          </w:p>
          <w:p>
            <w:pPr>
              <w:spacing w:line="300" w:lineRule="exact"/>
              <w:rPr>
                <w:rFonts w:cs="宋体"/>
                <w:sz w:val="22"/>
                <w:szCs w:val="21"/>
                <w:highlight w:val="none"/>
              </w:rPr>
            </w:pPr>
            <w:r>
              <w:rPr>
                <w:rFonts w:hint="eastAsia" w:ascii="宋体" w:hAnsi="宋体" w:cs="宋体"/>
                <w:sz w:val="22"/>
                <w:szCs w:val="20"/>
                <w:highlight w:val="none"/>
                <w:lang w:val="en-US" w:eastAsia="zh-CN"/>
              </w:rPr>
              <w:t>3、</w:t>
            </w:r>
            <w:r>
              <w:rPr>
                <w:rFonts w:hint="eastAsia" w:cs="宋体"/>
                <w:sz w:val="22"/>
                <w:szCs w:val="21"/>
                <w:highlight w:val="none"/>
              </w:rPr>
              <w:t>投标人提供的应急预案内容一般，方案科学性、合理性、可操作性均一般的，得0-2分。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391" w:type="pct"/>
            <w:tcBorders>
              <w:tl2br w:val="nil"/>
              <w:tr2bl w:val="nil"/>
            </w:tcBorders>
            <w:vAlign w:val="center"/>
          </w:tcPr>
          <w:p>
            <w:pPr>
              <w:spacing w:line="300" w:lineRule="exact"/>
              <w:jc w:val="center"/>
              <w:rPr>
                <w:rFonts w:hint="eastAsia" w:ascii="宋体" w:hAnsi="宋体" w:eastAsia="宋体" w:cs="宋体"/>
                <w:sz w:val="22"/>
                <w:szCs w:val="20"/>
                <w:highlight w:val="none"/>
                <w:lang w:eastAsia="zh-CN"/>
              </w:rPr>
            </w:pPr>
            <w:r>
              <w:rPr>
                <w:rFonts w:hint="eastAsia" w:ascii="宋体" w:hAnsi="宋体" w:cs="宋体"/>
                <w:sz w:val="22"/>
                <w:szCs w:val="20"/>
                <w:highlight w:val="none"/>
                <w:lang w:val="en-US" w:eastAsia="zh-CN"/>
              </w:rPr>
              <w:t>8</w:t>
            </w:r>
          </w:p>
        </w:tc>
        <w:tc>
          <w:tcPr>
            <w:tcW w:w="604" w:type="pct"/>
            <w:tcBorders>
              <w:tl2br w:val="nil"/>
              <w:tr2bl w:val="nil"/>
            </w:tcBorders>
            <w:vAlign w:val="center"/>
          </w:tcPr>
          <w:p>
            <w:pPr>
              <w:spacing w:line="300" w:lineRule="exact"/>
              <w:jc w:val="center"/>
              <w:rPr>
                <w:rFonts w:ascii="宋体" w:hAnsi="宋体" w:cs="宋体"/>
                <w:sz w:val="22"/>
                <w:szCs w:val="20"/>
                <w:highlight w:val="none"/>
              </w:rPr>
            </w:pPr>
            <w:r>
              <w:rPr>
                <w:rFonts w:hint="eastAsia" w:ascii="宋体" w:hAnsi="宋体" w:cs="宋体"/>
                <w:sz w:val="22"/>
                <w:szCs w:val="20"/>
                <w:highlight w:val="none"/>
              </w:rPr>
              <w:t>重难点与对策</w:t>
            </w:r>
          </w:p>
        </w:tc>
        <w:tc>
          <w:tcPr>
            <w:tcW w:w="405" w:type="pct"/>
            <w:tcBorders>
              <w:tl2br w:val="nil"/>
              <w:tr2bl w:val="nil"/>
            </w:tcBorders>
            <w:vAlign w:val="center"/>
          </w:tcPr>
          <w:p>
            <w:pPr>
              <w:spacing w:line="300" w:lineRule="exact"/>
              <w:jc w:val="center"/>
              <w:rPr>
                <w:rFonts w:hint="eastAsia" w:ascii="宋体" w:hAnsi="宋体" w:eastAsia="宋体" w:cs="宋体"/>
                <w:kern w:val="0"/>
                <w:sz w:val="22"/>
                <w:szCs w:val="21"/>
                <w:highlight w:val="none"/>
                <w:lang w:val="zh-CN" w:eastAsia="zh-CN" w:bidi="ar-SA"/>
              </w:rPr>
            </w:pPr>
            <w:r>
              <w:rPr>
                <w:rFonts w:hint="eastAsia" w:ascii="宋体" w:hAnsi="宋体" w:cs="宋体"/>
                <w:kern w:val="0"/>
                <w:sz w:val="22"/>
                <w:szCs w:val="21"/>
                <w:highlight w:val="none"/>
                <w:lang w:val="en-US" w:eastAsia="zh-CN" w:bidi="ar-SA"/>
              </w:rPr>
              <w:t>2</w:t>
            </w:r>
          </w:p>
        </w:tc>
        <w:tc>
          <w:tcPr>
            <w:tcW w:w="3598" w:type="pct"/>
            <w:tcBorders>
              <w:tl2br w:val="nil"/>
              <w:tr2bl w:val="nil"/>
            </w:tcBorders>
            <w:vAlign w:val="center"/>
          </w:tcPr>
          <w:p>
            <w:pPr>
              <w:pStyle w:val="27"/>
              <w:rPr>
                <w:rFonts w:hint="eastAsia" w:ascii="宋体" w:hAnsi="宋体" w:eastAsia="宋体" w:cs="宋体"/>
                <w:kern w:val="0"/>
                <w:sz w:val="22"/>
                <w:szCs w:val="21"/>
                <w:highlight w:val="none"/>
                <w:lang w:val="zh-CN" w:eastAsia="zh-CN" w:bidi="ar-SA"/>
              </w:rPr>
            </w:pPr>
            <w:r>
              <w:rPr>
                <w:rFonts w:hint="eastAsia" w:ascii="宋体" w:hAnsi="宋体" w:eastAsia="宋体" w:cs="宋体"/>
                <w:kern w:val="0"/>
                <w:sz w:val="22"/>
                <w:szCs w:val="21"/>
                <w:highlight w:val="none"/>
                <w:lang w:val="zh-CN" w:eastAsia="zh-CN" w:bidi="ar-SA"/>
              </w:rPr>
              <w:t>评委对投标人提供的巩固国家卫生</w:t>
            </w:r>
            <w:r>
              <w:rPr>
                <w:rFonts w:hint="eastAsia" w:cs="宋体"/>
                <w:kern w:val="0"/>
                <w:sz w:val="22"/>
                <w:szCs w:val="21"/>
                <w:highlight w:val="none"/>
                <w:lang w:val="zh-CN" w:eastAsia="zh-CN" w:bidi="ar-SA"/>
              </w:rPr>
              <w:t>乡镇</w:t>
            </w:r>
            <w:r>
              <w:rPr>
                <w:rFonts w:hint="eastAsia" w:ascii="宋体" w:hAnsi="宋体" w:eastAsia="宋体" w:cs="宋体"/>
                <w:kern w:val="0"/>
                <w:sz w:val="22"/>
                <w:szCs w:val="21"/>
                <w:highlight w:val="none"/>
                <w:lang w:val="zh-CN" w:eastAsia="zh-CN" w:bidi="ar-SA"/>
              </w:rPr>
              <w:t>涉及病媒生物管理的难点分析及对策进行综合评价</w:t>
            </w:r>
            <w:r>
              <w:rPr>
                <w:rFonts w:hint="eastAsia" w:cs="宋体"/>
                <w:kern w:val="0"/>
                <w:sz w:val="22"/>
                <w:szCs w:val="21"/>
                <w:highlight w:val="none"/>
                <w:lang w:val="zh-CN" w:eastAsia="zh-CN" w:bidi="ar-SA"/>
              </w:rPr>
              <w:t>（</w:t>
            </w:r>
            <w:r>
              <w:rPr>
                <w:rFonts w:hint="eastAsia" w:cs="宋体"/>
                <w:kern w:val="0"/>
                <w:sz w:val="22"/>
                <w:szCs w:val="21"/>
                <w:highlight w:val="none"/>
                <w:lang w:val="en-US" w:eastAsia="zh-CN" w:bidi="ar-SA"/>
              </w:rPr>
              <w:t>0-2</w:t>
            </w:r>
            <w:r>
              <w:rPr>
                <w:rFonts w:hint="eastAsia" w:cs="宋体"/>
                <w:kern w:val="0"/>
                <w:sz w:val="22"/>
                <w:szCs w:val="21"/>
                <w:highlight w:val="none"/>
                <w:lang w:val="zh-CN" w:eastAsia="zh-CN" w:bidi="ar-SA"/>
              </w:rPr>
              <w:t>）</w:t>
            </w:r>
            <w:r>
              <w:rPr>
                <w:rFonts w:hint="eastAsia" w:ascii="宋体" w:hAnsi="宋体" w:eastAsia="宋体" w:cs="宋体"/>
                <w:kern w:val="0"/>
                <w:sz w:val="22"/>
                <w:szCs w:val="21"/>
                <w:highlight w:val="none"/>
                <w:lang w:val="zh-CN" w:eastAsia="zh-CN" w:bidi="ar-SA"/>
              </w:rPr>
              <w:t>。</w:t>
            </w:r>
          </w:p>
        </w:tc>
      </w:tr>
    </w:tbl>
    <w:p>
      <w:pPr>
        <w:spacing w:line="300" w:lineRule="exact"/>
        <w:rPr>
          <w:rFonts w:hint="eastAsia" w:ascii="宋体" w:hAnsi="宋体" w:cs="宋体"/>
          <w:sz w:val="22"/>
          <w:szCs w:val="20"/>
          <w:lang w:val="zh-CN"/>
        </w:rPr>
      </w:pPr>
      <w:r>
        <w:rPr>
          <w:rFonts w:hint="eastAsia" w:ascii="宋体" w:hAnsi="宋体" w:cs="宋体"/>
          <w:sz w:val="22"/>
          <w:szCs w:val="20"/>
          <w:lang w:val="zh-CN"/>
        </w:rPr>
        <w:t>注：（1）上述证明材料中的单位名称与投标单位的名称必须一致，单位发生合法变更的，需提供合法变更的材料。否则不予认可。</w:t>
      </w:r>
    </w:p>
    <w:p>
      <w:pPr>
        <w:spacing w:line="300" w:lineRule="exact"/>
        <w:rPr>
          <w:rFonts w:hint="eastAsia" w:ascii="宋体" w:hAnsi="宋体" w:cs="宋体"/>
          <w:sz w:val="22"/>
          <w:szCs w:val="20"/>
          <w:lang w:val="zh-CN"/>
        </w:rPr>
      </w:pPr>
      <w:r>
        <w:rPr>
          <w:rFonts w:hint="eastAsia" w:ascii="宋体" w:hAnsi="宋体" w:cs="宋体"/>
          <w:sz w:val="22"/>
          <w:szCs w:val="20"/>
          <w:lang w:val="zh-CN"/>
        </w:rPr>
        <w:t>（</w:t>
      </w:r>
      <w:r>
        <w:rPr>
          <w:rFonts w:hint="eastAsia" w:ascii="宋体" w:hAnsi="宋体" w:cs="宋体"/>
          <w:sz w:val="22"/>
          <w:szCs w:val="20"/>
        </w:rPr>
        <w:t>2</w:t>
      </w:r>
      <w:r>
        <w:rPr>
          <w:rFonts w:hint="eastAsia" w:ascii="宋体" w:hAnsi="宋体" w:cs="宋体"/>
          <w:sz w:val="22"/>
          <w:szCs w:val="20"/>
          <w:lang w:val="zh-CN"/>
        </w:rPr>
        <w:t>）上述评分内容，缺项不得分。</w:t>
      </w:r>
    </w:p>
    <w:p>
      <w:pPr>
        <w:widowControl/>
        <w:jc w:val="center"/>
        <w:outlineLvl w:val="0"/>
        <w:rPr>
          <w:rFonts w:ascii="宋体" w:cs="宋体"/>
          <w:b/>
          <w:bCs/>
          <w:sz w:val="36"/>
          <w:szCs w:val="36"/>
        </w:rPr>
      </w:pPr>
      <w:r>
        <w:rPr>
          <w:rFonts w:ascii="宋体" w:cs="宋体"/>
          <w:b/>
          <w:bCs/>
          <w:sz w:val="36"/>
          <w:szCs w:val="36"/>
        </w:rPr>
        <w:br w:type="page"/>
      </w:r>
      <w:bookmarkStart w:id="17" w:name="_Toc24146"/>
      <w:r>
        <w:rPr>
          <w:rFonts w:hint="eastAsia" w:ascii="宋体" w:hAnsi="宋体" w:cs="宋体"/>
          <w:b/>
          <w:bCs/>
          <w:sz w:val="36"/>
          <w:szCs w:val="36"/>
        </w:rPr>
        <w:t>第四章</w:t>
      </w:r>
      <w:r>
        <w:rPr>
          <w:rFonts w:ascii="宋体" w:hAnsi="宋体" w:cs="宋体"/>
          <w:b/>
          <w:bCs/>
          <w:sz w:val="36"/>
          <w:szCs w:val="36"/>
        </w:rPr>
        <w:t xml:space="preserve"> </w:t>
      </w:r>
      <w:r>
        <w:rPr>
          <w:rFonts w:hint="eastAsia" w:ascii="宋体" w:hAnsi="宋体" w:cs="宋体"/>
          <w:b/>
          <w:bCs/>
          <w:sz w:val="36"/>
          <w:szCs w:val="36"/>
        </w:rPr>
        <w:t>采购需求</w:t>
      </w:r>
      <w:bookmarkEnd w:id="17"/>
    </w:p>
    <w:p>
      <w:pPr>
        <w:spacing w:line="324" w:lineRule="auto"/>
        <w:ind w:firstLine="480" w:firstLineChars="200"/>
        <w:rPr>
          <w:b/>
          <w:bCs/>
          <w:sz w:val="24"/>
        </w:rPr>
      </w:pPr>
      <w:r>
        <w:rPr>
          <w:rFonts w:hint="eastAsia"/>
          <w:b/>
          <w:bCs/>
          <w:sz w:val="24"/>
        </w:rPr>
        <w:t>一、采购内容</w:t>
      </w:r>
    </w:p>
    <w:p>
      <w:pPr>
        <w:spacing w:line="312" w:lineRule="auto"/>
        <w:ind w:firstLine="480" w:firstLineChars="200"/>
        <w:rPr>
          <w:sz w:val="24"/>
        </w:rPr>
      </w:pPr>
      <w:r>
        <w:rPr>
          <w:rFonts w:hint="eastAsia"/>
          <w:sz w:val="24"/>
        </w:rPr>
        <w:t>1.1 项目名称：</w:t>
      </w:r>
      <w:r>
        <w:rPr>
          <w:rFonts w:hint="eastAsia"/>
          <w:sz w:val="24"/>
          <w:lang w:eastAsia="zh-CN"/>
        </w:rPr>
        <w:t>温岭市新河镇2024年度病媒生物防制专业化服务项目采购</w:t>
      </w:r>
      <w:r>
        <w:rPr>
          <w:rFonts w:hint="eastAsia"/>
          <w:sz w:val="24"/>
        </w:rPr>
        <w:t>；</w:t>
      </w:r>
    </w:p>
    <w:p>
      <w:pPr>
        <w:spacing w:line="312" w:lineRule="auto"/>
        <w:ind w:firstLine="480" w:firstLineChars="200"/>
        <w:rPr>
          <w:sz w:val="24"/>
        </w:rPr>
      </w:pPr>
      <w:r>
        <w:rPr>
          <w:rFonts w:hint="eastAsia"/>
          <w:sz w:val="24"/>
        </w:rPr>
        <w:t>1.2 服务期限：合同签订之日起一年。</w:t>
      </w:r>
    </w:p>
    <w:p>
      <w:pPr>
        <w:spacing w:line="312" w:lineRule="auto"/>
        <w:ind w:firstLine="480" w:firstLineChars="200"/>
        <w:rPr>
          <w:sz w:val="24"/>
        </w:rPr>
      </w:pPr>
      <w:r>
        <w:rPr>
          <w:rFonts w:hint="eastAsia"/>
          <w:sz w:val="24"/>
        </w:rPr>
        <w:t>1.3 服务内容：温岭市新河镇范围内的“四害”消杀工作及“四害”密度检测服务； 居民户“除四害”药物的供应等。</w:t>
      </w:r>
    </w:p>
    <w:p>
      <w:pPr>
        <w:spacing w:line="312" w:lineRule="auto"/>
        <w:ind w:firstLine="480" w:firstLineChars="200"/>
        <w:rPr>
          <w:u w:val="single"/>
        </w:rPr>
      </w:pPr>
      <w:r>
        <w:rPr>
          <w:rFonts w:hint="eastAsia"/>
          <w:sz w:val="24"/>
        </w:rPr>
        <w:t>▲1.</w:t>
      </w:r>
      <w:r>
        <w:rPr>
          <w:rFonts w:hint="eastAsia"/>
          <w:sz w:val="24"/>
          <w:lang w:val="en-US" w:eastAsia="zh-CN"/>
        </w:rPr>
        <w:t>4</w:t>
      </w:r>
      <w:r>
        <w:rPr>
          <w:rFonts w:hint="eastAsia"/>
          <w:sz w:val="24"/>
          <w:u w:val="single"/>
        </w:rPr>
        <w:t>根据《浙江省爱国卫生促进条例》，投标人须具有《浙江省病媒生物预防控制服务单位备案确认书》</w:t>
      </w:r>
      <w:r>
        <w:rPr>
          <w:rFonts w:hint="eastAsia"/>
          <w:sz w:val="24"/>
          <w:u w:val="single"/>
          <w:lang w:eastAsia="zh-CN"/>
        </w:rPr>
        <w:t>（</w:t>
      </w:r>
      <w:r>
        <w:rPr>
          <w:rFonts w:hint="eastAsia"/>
          <w:b/>
          <w:bCs/>
          <w:color w:val="FF0000"/>
          <w:sz w:val="24"/>
          <w:u w:val="single"/>
          <w:lang w:eastAsia="zh-CN"/>
        </w:rPr>
        <w:t>商务技术文件中编入</w:t>
      </w:r>
      <w:r>
        <w:rPr>
          <w:rFonts w:hint="eastAsia"/>
          <w:b/>
          <w:bCs/>
          <w:color w:val="FF0000"/>
          <w:sz w:val="24"/>
          <w:u w:val="single"/>
        </w:rPr>
        <w:t>《浙江省病媒生物预防控制服务单位备案确认书》</w:t>
      </w:r>
      <w:r>
        <w:rPr>
          <w:rFonts w:hint="eastAsia"/>
          <w:b/>
          <w:bCs/>
          <w:color w:val="FF0000"/>
          <w:sz w:val="24"/>
          <w:u w:val="single"/>
          <w:lang w:eastAsia="zh-CN"/>
        </w:rPr>
        <w:t>扫描件或复印件</w:t>
      </w:r>
      <w:r>
        <w:rPr>
          <w:rFonts w:hint="eastAsia"/>
          <w:sz w:val="24"/>
          <w:u w:val="single"/>
          <w:lang w:eastAsia="zh-CN"/>
        </w:rPr>
        <w:t>）</w:t>
      </w:r>
      <w:r>
        <w:rPr>
          <w:rFonts w:hint="eastAsia"/>
          <w:sz w:val="24"/>
          <w:u w:val="single"/>
        </w:rPr>
        <w:t>。</w:t>
      </w:r>
    </w:p>
    <w:p>
      <w:pPr>
        <w:spacing w:line="312" w:lineRule="auto"/>
        <w:ind w:firstLine="480" w:firstLineChars="200"/>
        <w:rPr>
          <w:b/>
          <w:bCs/>
          <w:sz w:val="24"/>
        </w:rPr>
      </w:pPr>
      <w:r>
        <w:rPr>
          <w:rFonts w:hint="eastAsia"/>
          <w:b/>
          <w:bCs/>
          <w:sz w:val="24"/>
        </w:rPr>
        <w:t>二、采购要求</w:t>
      </w:r>
    </w:p>
    <w:p>
      <w:pPr>
        <w:spacing w:line="312" w:lineRule="auto"/>
        <w:ind w:firstLine="480" w:firstLineChars="200"/>
        <w:rPr>
          <w:b/>
          <w:bCs/>
          <w:sz w:val="24"/>
        </w:rPr>
      </w:pPr>
      <w:r>
        <w:rPr>
          <w:rFonts w:hint="eastAsia"/>
          <w:b/>
          <w:bCs/>
          <w:sz w:val="24"/>
        </w:rPr>
        <w:t>（一）消杀范围</w:t>
      </w:r>
      <w:r>
        <w:rPr>
          <w:rFonts w:hint="eastAsia"/>
          <w:b/>
          <w:bCs/>
          <w:sz w:val="24"/>
          <w:lang w:eastAsia="zh-CN"/>
        </w:rPr>
        <w:t>：</w:t>
      </w:r>
      <w:r>
        <w:rPr>
          <w:rFonts w:hint="eastAsia"/>
          <w:b/>
          <w:bCs/>
          <w:sz w:val="24"/>
        </w:rPr>
        <w:t xml:space="preserve"> </w:t>
      </w:r>
    </w:p>
    <w:p>
      <w:pPr>
        <w:spacing w:line="312" w:lineRule="auto"/>
        <w:ind w:firstLine="480" w:firstLineChars="200"/>
        <w:rPr>
          <w:sz w:val="24"/>
        </w:rPr>
      </w:pPr>
      <w:r>
        <w:rPr>
          <w:rFonts w:hint="eastAsia"/>
          <w:sz w:val="24"/>
        </w:rPr>
        <w:t>1、本项目为温岭市新河镇除四害专业化服务项目采购，新河镇【</w:t>
      </w:r>
      <w:r>
        <w:rPr>
          <w:rFonts w:hint="eastAsia"/>
          <w:sz w:val="24"/>
          <w:lang w:eastAsia="zh-CN"/>
        </w:rPr>
        <w:t>新河镇建成区消杀范围</w:t>
      </w:r>
      <w:r>
        <w:rPr>
          <w:rFonts w:hint="eastAsia"/>
          <w:sz w:val="24"/>
        </w:rPr>
        <w:t>约</w:t>
      </w:r>
      <w:r>
        <w:rPr>
          <w:rFonts w:hint="eastAsia"/>
          <w:sz w:val="24"/>
          <w:lang w:eastAsia="zh-CN"/>
        </w:rPr>
        <w:t>8.74</w:t>
      </w:r>
      <w:r>
        <w:rPr>
          <w:rFonts w:hint="eastAsia"/>
          <w:sz w:val="24"/>
        </w:rPr>
        <w:t>平方公里</w:t>
      </w:r>
      <w:r>
        <w:rPr>
          <w:rFonts w:hint="eastAsia"/>
          <w:sz w:val="24"/>
          <w:lang w:eastAsia="zh-CN"/>
        </w:rPr>
        <w:t>（包含2个除四害村）</w:t>
      </w:r>
      <w:r>
        <w:rPr>
          <w:rFonts w:hint="eastAsia"/>
          <w:sz w:val="24"/>
        </w:rPr>
        <w:t>；辖区内居民户约40952户（包括外来人口）】范围内的公共环境（包括居民楼、重点场所、垃圾收集点、建筑工地、绿化带、下水道、河岸边、窨井、水体、公园、闲置空地、地下室、地下车库、车棚雨棚、垃圾桶[箱]、公共厕所等）、企事业单位及六小行业【小餐饮店、小食品店（含小副食品店、小超市）、小美容美发店、小浴室（含小足浴）、小旅店、小歌舞厅等】至少3000家，农副产品市场（含菜市场）9个及其他沿街店铺等的除“四害”专业性治理服务（含居民户的灭蟑、蚊、蝇、鼠药物的供应约（40952）户）。</w:t>
      </w:r>
    </w:p>
    <w:p>
      <w:pPr>
        <w:spacing w:line="312" w:lineRule="auto"/>
        <w:ind w:firstLine="480" w:firstLineChars="200"/>
        <w:rPr>
          <w:sz w:val="24"/>
        </w:rPr>
      </w:pPr>
      <w:r>
        <w:rPr>
          <w:rFonts w:hint="eastAsia"/>
          <w:sz w:val="24"/>
        </w:rPr>
        <w:t>注：以上数量均为预估数值，结算时按实调整。</w:t>
      </w:r>
    </w:p>
    <w:p>
      <w:pPr>
        <w:spacing w:line="312" w:lineRule="auto"/>
        <w:ind w:firstLine="480" w:firstLineChars="200"/>
        <w:rPr>
          <w:b/>
          <w:bCs/>
          <w:sz w:val="24"/>
        </w:rPr>
      </w:pPr>
      <w:r>
        <w:rPr>
          <w:rFonts w:hint="eastAsia"/>
          <w:b/>
          <w:bCs/>
          <w:sz w:val="24"/>
        </w:rPr>
        <w:t>（二）服务内容：</w:t>
      </w:r>
    </w:p>
    <w:p>
      <w:pPr>
        <w:spacing w:line="312" w:lineRule="auto"/>
        <w:ind w:firstLine="480" w:firstLineChars="200"/>
        <w:rPr>
          <w:sz w:val="24"/>
        </w:rPr>
      </w:pPr>
      <w:r>
        <w:rPr>
          <w:rFonts w:hint="eastAsia"/>
          <w:sz w:val="24"/>
        </w:rPr>
        <w:t>1、消杀服务</w:t>
      </w:r>
    </w:p>
    <w:p>
      <w:pPr>
        <w:spacing w:line="312" w:lineRule="auto"/>
        <w:ind w:firstLine="480" w:firstLineChars="200"/>
        <w:rPr>
          <w:sz w:val="24"/>
        </w:rPr>
      </w:pPr>
      <w:r>
        <w:rPr>
          <w:rFonts w:hint="eastAsia"/>
          <w:sz w:val="24"/>
        </w:rPr>
        <w:t>1.1 在消杀前要根据当地实际情况开展四害孳生地调查，做好</w:t>
      </w:r>
      <w:r>
        <w:rPr>
          <w:rFonts w:hint="eastAsia"/>
          <w:sz w:val="24"/>
          <w:lang w:eastAsia="zh-CN"/>
        </w:rPr>
        <w:t>本地</w:t>
      </w:r>
      <w:r>
        <w:rPr>
          <w:rFonts w:hint="eastAsia"/>
          <w:sz w:val="24"/>
        </w:rPr>
        <w:t>四害密度监测，再根据四害密度情况制订消杀方案。</w:t>
      </w:r>
    </w:p>
    <w:p>
      <w:pPr>
        <w:spacing w:line="312" w:lineRule="auto"/>
        <w:ind w:firstLine="480" w:firstLineChars="200"/>
        <w:rPr>
          <w:sz w:val="24"/>
        </w:rPr>
      </w:pPr>
      <w:r>
        <w:rPr>
          <w:rFonts w:hint="eastAsia"/>
          <w:sz w:val="24"/>
        </w:rPr>
        <w:t>1.2最低频次要求：灭鼠在服务周期内进行2次全面投药灭鼠活动，对重点场所每月开展1次消杀；灭蟑在服务周期内重点场所每月开展1次的投药杀灭；灭蚊蝇在服务周期内繁殖季节（每年3-11月份）每月进行药物喷洒2次以上，孳生地灭蚊蝇幼虫（每年4-10月份）药物投放每两周一次以上，若上述频次仍无法达到相关国家病媒生物密度控制水平C级及以上标准，应根据实际需求增加用药频次。（药物使用剂量、浓度、时间、方法、配伍等符合相关技术规定；根据不同病媒生物特点、季节、环境类型等，按照季节消长科学安排消杀方法、时间等具体工作）</w:t>
      </w:r>
    </w:p>
    <w:p>
      <w:pPr>
        <w:spacing w:line="312" w:lineRule="auto"/>
        <w:ind w:firstLine="480" w:firstLineChars="200"/>
        <w:rPr>
          <w:b/>
          <w:bCs/>
          <w:u w:val="single"/>
        </w:rPr>
      </w:pPr>
      <w:r>
        <w:rPr>
          <w:rFonts w:hint="eastAsia"/>
          <w:b/>
          <w:bCs/>
          <w:sz w:val="24"/>
          <w:u w:val="single"/>
        </w:rPr>
        <w:t>1.3投标人须对六小行业及企事业单位进入室内进行消杀。</w:t>
      </w:r>
    </w:p>
    <w:p>
      <w:pPr>
        <w:spacing w:line="312" w:lineRule="auto"/>
        <w:ind w:firstLine="480" w:firstLineChars="200"/>
        <w:rPr>
          <w:sz w:val="24"/>
        </w:rPr>
      </w:pPr>
      <w:r>
        <w:rPr>
          <w:rFonts w:hint="eastAsia"/>
          <w:sz w:val="24"/>
        </w:rPr>
        <w:t>2、四害药物供应：居民户的灭蟑、蚊、蝇、鼠药物的供应为（含外来务工人员，数量均为预估值）：40952户。</w:t>
      </w:r>
    </w:p>
    <w:p>
      <w:pPr>
        <w:spacing w:line="312" w:lineRule="auto"/>
        <w:ind w:firstLine="480" w:firstLineChars="200"/>
        <w:rPr>
          <w:sz w:val="24"/>
        </w:rPr>
      </w:pPr>
      <w:r>
        <w:rPr>
          <w:rFonts w:hint="eastAsia"/>
          <w:sz w:val="24"/>
        </w:rPr>
        <w:t>3、负责六小行业、企事业单位及农副市场灭害服务和防害设施安装指导服务；外环境的灭鼠陶瓷毒饵站、诱蝇笼设置安装及经常性维护及指导服务，安装数量为（由投标供应商建设安装）：</w:t>
      </w:r>
    </w:p>
    <w:p>
      <w:pPr>
        <w:spacing w:line="312" w:lineRule="auto"/>
        <w:ind w:firstLine="480" w:firstLineChars="200"/>
        <w:rPr>
          <w:sz w:val="24"/>
        </w:rPr>
      </w:pPr>
      <w:r>
        <w:rPr>
          <w:rFonts w:hint="eastAsia"/>
          <w:sz w:val="24"/>
        </w:rPr>
        <w:t>3.1：外环境的灭鼠陶瓷毒饵站新安装设置不少于1000个【原安装的灭鼠陶瓷毒饵站经常性维护1000个（不包含在新安装数量中），此项费用请投标人在报价中综合考虑】，诱蝇笼安装设置不少于500个。</w:t>
      </w:r>
    </w:p>
    <w:p>
      <w:pPr>
        <w:spacing w:line="312" w:lineRule="auto"/>
        <w:ind w:firstLine="480" w:firstLineChars="200"/>
        <w:rPr>
          <w:sz w:val="24"/>
        </w:rPr>
      </w:pPr>
      <w:r>
        <w:rPr>
          <w:rFonts w:hint="eastAsia"/>
          <w:sz w:val="24"/>
        </w:rPr>
        <w:t>3.1.1落地式诱蝇笼具体参数如下：</w:t>
      </w:r>
    </w:p>
    <w:p>
      <w:pPr>
        <w:spacing w:line="312" w:lineRule="auto"/>
        <w:ind w:firstLine="480" w:firstLineChars="200"/>
        <w:rPr>
          <w:sz w:val="24"/>
        </w:rPr>
      </w:pPr>
      <w:r>
        <w:rPr>
          <w:rFonts w:hint="eastAsia"/>
          <w:sz w:val="24"/>
        </w:rPr>
        <w:t xml:space="preserve"> 产品尺寸：33cm*23cm</w:t>
      </w:r>
    </w:p>
    <w:p>
      <w:pPr>
        <w:spacing w:line="312" w:lineRule="auto"/>
        <w:ind w:firstLine="480" w:firstLineChars="200"/>
        <w:rPr>
          <w:sz w:val="24"/>
        </w:rPr>
      </w:pPr>
      <w:r>
        <w:rPr>
          <w:rFonts w:hint="eastAsia"/>
          <w:sz w:val="24"/>
        </w:rPr>
        <w:t xml:space="preserve"> ▲ 材质：钢丝</w:t>
      </w:r>
      <w:r>
        <w:rPr>
          <w:rFonts w:hint="eastAsia"/>
          <w:sz w:val="24"/>
          <w:lang w:eastAsia="zh-CN"/>
        </w:rPr>
        <w:t>（</w:t>
      </w:r>
      <w:r>
        <w:rPr>
          <w:rFonts w:hint="eastAsia"/>
          <w:b/>
          <w:bCs/>
          <w:color w:val="FF0000"/>
          <w:sz w:val="24"/>
          <w:lang w:eastAsia="zh-CN"/>
        </w:rPr>
        <w:t>应在技术商务偏离表中明确</w:t>
      </w:r>
      <w:r>
        <w:rPr>
          <w:rFonts w:hint="eastAsia"/>
          <w:sz w:val="24"/>
          <w:lang w:eastAsia="zh-CN"/>
        </w:rPr>
        <w:t>）</w:t>
      </w:r>
      <w:r>
        <w:rPr>
          <w:rFonts w:hint="eastAsia"/>
          <w:sz w:val="24"/>
        </w:rPr>
        <w:t>;</w:t>
      </w:r>
    </w:p>
    <w:p>
      <w:pPr>
        <w:spacing w:line="312" w:lineRule="auto"/>
        <w:rPr>
          <w:sz w:val="24"/>
        </w:rPr>
      </w:pPr>
      <w:r>
        <w:rPr>
          <w:rFonts w:hint="eastAsia"/>
          <w:sz w:val="24"/>
        </w:rPr>
        <w:t>参考样式如下图：</w:t>
      </w:r>
    </w:p>
    <w:p>
      <w:pPr>
        <w:spacing w:line="312" w:lineRule="auto"/>
        <w:ind w:firstLine="480" w:firstLineChars="200"/>
        <w:rPr>
          <w:sz w:val="24"/>
        </w:rPr>
      </w:pPr>
      <w:r>
        <w:rPr>
          <w:rFonts w:hint="eastAsia"/>
          <w:sz w:val="24"/>
        </w:rPr>
        <w:drawing>
          <wp:anchor distT="0" distB="0" distL="114300" distR="114300" simplePos="0" relativeHeight="251663360" behindDoc="0" locked="0" layoutInCell="1" allowOverlap="1">
            <wp:simplePos x="0" y="0"/>
            <wp:positionH relativeFrom="column">
              <wp:posOffset>1422400</wp:posOffset>
            </wp:positionH>
            <wp:positionV relativeFrom="paragraph">
              <wp:posOffset>121285</wp:posOffset>
            </wp:positionV>
            <wp:extent cx="2724150" cy="2724150"/>
            <wp:effectExtent l="0" t="0" r="0" b="0"/>
            <wp:wrapTopAndBottom/>
            <wp:docPr id="1" name="图片 2" descr="4_6df0f9876ed81f6496685daf40148666.jpg_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4_6df0f9876ed81f6496685daf40148666.jpg_mid"/>
                    <pic:cNvPicPr>
                      <a:picLocks noChangeAspect="1"/>
                    </pic:cNvPicPr>
                  </pic:nvPicPr>
                  <pic:blipFill>
                    <a:blip r:embed="rId12"/>
                    <a:stretch>
                      <a:fillRect/>
                    </a:stretch>
                  </pic:blipFill>
                  <pic:spPr>
                    <a:xfrm>
                      <a:off x="0" y="0"/>
                      <a:ext cx="2724150" cy="2724150"/>
                    </a:xfrm>
                    <a:prstGeom prst="rect">
                      <a:avLst/>
                    </a:prstGeom>
                    <a:noFill/>
                    <a:ln>
                      <a:noFill/>
                    </a:ln>
                  </pic:spPr>
                </pic:pic>
              </a:graphicData>
            </a:graphic>
          </wp:anchor>
        </w:drawing>
      </w:r>
      <w:r>
        <w:rPr>
          <w:rFonts w:hint="eastAsia"/>
          <w:sz w:val="24"/>
        </w:rPr>
        <w:t>4、监测服务：按照浙卫办</w:t>
      </w:r>
      <w:r>
        <w:rPr>
          <w:rFonts w:hint="eastAsia"/>
          <w:sz w:val="24"/>
          <w:lang w:eastAsia="zh-CN"/>
        </w:rPr>
        <w:t>〔</w:t>
      </w:r>
      <w:r>
        <w:rPr>
          <w:rFonts w:hint="eastAsia"/>
          <w:sz w:val="24"/>
        </w:rPr>
        <w:t>2016</w:t>
      </w:r>
      <w:r>
        <w:rPr>
          <w:rFonts w:hint="eastAsia"/>
          <w:sz w:val="24"/>
          <w:lang w:eastAsia="zh-CN"/>
        </w:rPr>
        <w:t>〕</w:t>
      </w:r>
      <w:r>
        <w:rPr>
          <w:rFonts w:hint="eastAsia"/>
          <w:sz w:val="24"/>
        </w:rPr>
        <w:t>15号文件要求制定鼠、蚊、蝇、蟑螂密度监测方案开展服务。</w:t>
      </w:r>
    </w:p>
    <w:p>
      <w:pPr>
        <w:spacing w:line="312" w:lineRule="auto"/>
        <w:ind w:firstLine="480" w:firstLineChars="200"/>
        <w:rPr>
          <w:sz w:val="24"/>
        </w:rPr>
      </w:pPr>
      <w:r>
        <w:rPr>
          <w:rFonts w:hint="eastAsia"/>
          <w:sz w:val="24"/>
        </w:rPr>
        <w:t>5、配合新河镇指导辖区内各单位做好除四害工作台账。</w:t>
      </w:r>
    </w:p>
    <w:p>
      <w:pPr>
        <w:spacing w:line="312" w:lineRule="auto"/>
        <w:ind w:firstLine="480" w:firstLineChars="200"/>
        <w:rPr>
          <w:sz w:val="24"/>
        </w:rPr>
      </w:pPr>
      <w:r>
        <w:rPr>
          <w:rFonts w:hint="eastAsia"/>
          <w:sz w:val="24"/>
        </w:rPr>
        <w:t>6、协助乡镇做好病媒生物预防与控制的宣传工作并做好相关资料的整理与归档工作。</w:t>
      </w:r>
    </w:p>
    <w:p>
      <w:pPr>
        <w:spacing w:line="312" w:lineRule="auto"/>
        <w:ind w:firstLine="480" w:firstLineChars="200"/>
        <w:rPr>
          <w:sz w:val="24"/>
        </w:rPr>
      </w:pPr>
      <w:r>
        <w:rPr>
          <w:rFonts w:hint="eastAsia"/>
          <w:sz w:val="24"/>
        </w:rPr>
        <w:t>7、做好承包区域内资料收集、整理、总结及上报等工作。</w:t>
      </w:r>
    </w:p>
    <w:p>
      <w:pPr>
        <w:spacing w:line="312" w:lineRule="auto"/>
        <w:ind w:firstLine="480" w:firstLineChars="200"/>
        <w:rPr>
          <w:rFonts w:hint="eastAsia"/>
          <w:sz w:val="24"/>
        </w:rPr>
      </w:pPr>
      <w:r>
        <w:rPr>
          <w:rFonts w:hint="eastAsia"/>
          <w:sz w:val="24"/>
        </w:rPr>
        <w:t>8、协助乡镇开展病媒生物预防与控制业务培训，业务培训最少2次。</w:t>
      </w:r>
    </w:p>
    <w:p>
      <w:pPr>
        <w:spacing w:line="312" w:lineRule="auto"/>
        <w:ind w:firstLine="480" w:firstLineChars="200"/>
        <w:rPr>
          <w:rFonts w:hint="eastAsia" w:ascii="Times New Roman" w:hAnsi="Times New Roman" w:eastAsia="宋体" w:cs="Times New Roman"/>
          <w:b/>
          <w:bCs/>
          <w:sz w:val="24"/>
          <w:u w:val="single"/>
          <w:lang w:val="en-US" w:eastAsia="zh-CN"/>
        </w:rPr>
      </w:pPr>
      <w:r>
        <w:rPr>
          <w:rFonts w:hint="eastAsia" w:ascii="Times New Roman" w:hAnsi="Times New Roman" w:eastAsia="宋体" w:cs="Times New Roman"/>
          <w:b/>
          <w:bCs/>
          <w:sz w:val="24"/>
          <w:u w:val="single"/>
          <w:lang w:val="en-US" w:eastAsia="zh-CN"/>
        </w:rPr>
        <w:t>9、根据《省爱卫会办公室等关于开展以灭蚊灭蝇为重点的除四害村建设助力健康浙江美丽浙江建设通知》（浙爱卫办【2021】6号）做好辖区内除四害村的相关消杀及监测服务。</w:t>
      </w:r>
    </w:p>
    <w:p>
      <w:pPr>
        <w:spacing w:line="312" w:lineRule="auto"/>
        <w:ind w:firstLine="480" w:firstLineChars="200"/>
        <w:rPr>
          <w:b/>
          <w:bCs/>
          <w:sz w:val="24"/>
        </w:rPr>
      </w:pPr>
      <w:r>
        <w:rPr>
          <w:rFonts w:hint="eastAsia"/>
          <w:b/>
          <w:bCs/>
          <w:sz w:val="24"/>
        </w:rPr>
        <w:t>（三）服务要求：</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1、投标供应商除四害药物须选用符合国家规定要求，并经采购人认定；自配药物，需向招标单位提供毒饵主剂和诱饵主剂的有关证书；</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2、服务标准及质量：建成区鼠、蚊、蝇、蟑螂等病媒生物得到有效控制，鼠、蚊、蝇、蟑螂密度达到国家病媒生物密度控制标准（GB/T 27770-2011鼠类、GB/T 27771-2011蚊虫、GB/T 27772-2011蝇类、GB/T 27773-2011蜚蠊）C级及以上</w:t>
      </w:r>
      <w:r>
        <w:rPr>
          <w:rFonts w:hint="eastAsia" w:ascii="宋体" w:hAnsi="宋体" w:cs="宋体"/>
          <w:sz w:val="24"/>
          <w:szCs w:val="24"/>
        </w:rPr>
        <w:t>（</w:t>
      </w:r>
      <w:r>
        <w:rPr>
          <w:rFonts w:hint="eastAsia" w:ascii="宋体" w:hAnsi="宋体" w:cs="宋体"/>
          <w:b/>
          <w:bCs/>
          <w:color w:val="FF0000"/>
          <w:sz w:val="24"/>
          <w:szCs w:val="24"/>
        </w:rPr>
        <w:t>上述4个标准须有一样达到B级及以上</w:t>
      </w:r>
      <w:r>
        <w:rPr>
          <w:rFonts w:hint="eastAsia" w:ascii="宋体" w:hAnsi="宋体" w:cs="宋体"/>
          <w:sz w:val="24"/>
          <w:szCs w:val="24"/>
        </w:rPr>
        <w:t>）</w:t>
      </w:r>
      <w:r>
        <w:rPr>
          <w:rFonts w:hint="eastAsia" w:cs="宋体"/>
          <w:sz w:val="24"/>
          <w:szCs w:val="24"/>
        </w:rPr>
        <w:t>。</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 xml:space="preserve">3、居民户药物发放标准： </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3.1灭蟑药：夏季每户灭蟑食饵 2包（10克装）；</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3.2灭鼠药：慢性鼠药物，疾病每户每次保证2两，服务期间共需发放2次。</w:t>
      </w:r>
    </w:p>
    <w:p>
      <w:pPr>
        <w:autoSpaceDE w:val="0"/>
        <w:autoSpaceDN w:val="0"/>
        <w:adjustRightInd w:val="0"/>
        <w:spacing w:line="312" w:lineRule="auto"/>
        <w:jc w:val="left"/>
        <w:rPr>
          <w:rFonts w:cs="宋体"/>
          <w:b/>
          <w:bCs/>
          <w:sz w:val="24"/>
          <w:szCs w:val="24"/>
        </w:rPr>
      </w:pPr>
      <w:r>
        <w:rPr>
          <w:rFonts w:hint="eastAsia" w:cs="宋体"/>
          <w:b/>
          <w:bCs/>
          <w:sz w:val="24"/>
          <w:szCs w:val="24"/>
        </w:rPr>
        <w:t>（注：以上药物不包括外环境和重点场所、六小行业、重点部位等的消杀用药）</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4、配合做好病媒生物预防控制效果现场评估，通过服务单位调查群众满意率达90%。</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5、执行合同期间不得发生因操作不规范而引起的安全事故和投诉事件。</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6、正常消杀作业时每平方公里不得少于1名作业人员；不消杀时应有1人与采购人保持密切联系。</w:t>
      </w:r>
    </w:p>
    <w:p>
      <w:pPr>
        <w:autoSpaceDE w:val="0"/>
        <w:autoSpaceDN w:val="0"/>
        <w:adjustRightInd w:val="0"/>
        <w:spacing w:line="312" w:lineRule="auto"/>
        <w:ind w:firstLine="480" w:firstLineChars="200"/>
        <w:jc w:val="left"/>
        <w:rPr>
          <w:rFonts w:cs="宋体"/>
          <w:b/>
          <w:bCs/>
          <w:color w:val="FF0000"/>
          <w:sz w:val="24"/>
          <w:szCs w:val="24"/>
        </w:rPr>
      </w:pPr>
      <w:r>
        <w:rPr>
          <w:rFonts w:hint="eastAsia" w:cs="宋体"/>
          <w:b/>
          <w:bCs/>
          <w:color w:val="FF0000"/>
          <w:sz w:val="24"/>
          <w:szCs w:val="24"/>
        </w:rPr>
        <w:t>7、合同期内发生病媒疫情时，无条件服从甲方的指令要求，及时响应，开展应急消杀服务。（注：本合同不包括此项服务费用，服务费用相关事宜需另行签订合同）</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8、采购货物要求：</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8.1由供应商提供符合本次除四害服务项目要求的货物，并在响应文件中列明药物名称及用量清单。要求提供的货物必须是全新的无缺陷的，有产品的质量检验证明文件。成交供应商根据四害防治周期负责组织将相应的货物按期运抵成交供应商设在新河镇的仓库（</w:t>
      </w:r>
      <w:r>
        <w:rPr>
          <w:rFonts w:hint="eastAsia" w:cs="宋体"/>
          <w:b/>
          <w:bCs/>
          <w:sz w:val="24"/>
          <w:szCs w:val="24"/>
        </w:rPr>
        <w:t>涉及的所有费用均由中标供应商承担</w:t>
      </w:r>
      <w:r>
        <w:rPr>
          <w:rFonts w:hint="eastAsia" w:cs="宋体"/>
          <w:sz w:val="24"/>
          <w:szCs w:val="24"/>
        </w:rPr>
        <w:t>）。</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8.2 货物随箱应附有下列资料：详细装箱单；产品合格证及检验记录；其他技术文档。</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8.3 到货验收：货物到达成交供应商设在采购人所在地的仓库后，采购人按有关标准和要求进行到货验收。在验收过程中若发现有破损、泄露、失效或其他质量问题应在7个日历天内无条件免费更换。到货验收的结果并不能免除供应商所投货物在今后使用过程中发生质量问题所应承担的责任。</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9、技术资料和档案整理</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9.1 成交供应商应向采购人提供下列文件：检验记录，试验报告和质量合格证，以及按国家安全检测规定批准文件等出厂报告；货物发运和装箱的详细清单；管理资料文件，包括维护、保管所需的说明书采购药物及设施清单一览表按有关标准、规程规定应提交的技术文件、资料。</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9.2成交供应商应将在消杀服务期间包括技术方案、消杀过程台账资料（宣传、监测、消杀文字影像资料、消杀总结）等过程性台账资料整理归档，达到相关除四害验收标准，由采购人把关。</w:t>
      </w:r>
    </w:p>
    <w:p>
      <w:pPr>
        <w:autoSpaceDE w:val="0"/>
        <w:autoSpaceDN w:val="0"/>
        <w:adjustRightInd w:val="0"/>
        <w:spacing w:line="312" w:lineRule="auto"/>
        <w:ind w:firstLine="480" w:firstLineChars="200"/>
        <w:jc w:val="left"/>
        <w:rPr>
          <w:rFonts w:cs="宋体"/>
          <w:b/>
          <w:bCs/>
          <w:sz w:val="24"/>
          <w:szCs w:val="24"/>
        </w:rPr>
      </w:pPr>
      <w:r>
        <w:rPr>
          <w:rFonts w:hint="eastAsia" w:cs="宋体"/>
          <w:b/>
          <w:bCs/>
          <w:sz w:val="24"/>
          <w:szCs w:val="24"/>
        </w:rPr>
        <w:t>三、防制原则及标准：</w:t>
      </w:r>
    </w:p>
    <w:p>
      <w:pPr>
        <w:autoSpaceDE w:val="0"/>
        <w:autoSpaceDN w:val="0"/>
        <w:adjustRightInd w:val="0"/>
        <w:spacing w:line="312" w:lineRule="auto"/>
        <w:ind w:firstLine="480" w:firstLineChars="200"/>
        <w:jc w:val="left"/>
        <w:rPr>
          <w:rFonts w:cs="宋体"/>
          <w:b/>
          <w:bCs/>
          <w:sz w:val="24"/>
          <w:szCs w:val="24"/>
        </w:rPr>
      </w:pPr>
      <w:r>
        <w:rPr>
          <w:rFonts w:hint="eastAsia" w:cs="宋体"/>
          <w:b/>
          <w:bCs/>
          <w:sz w:val="24"/>
          <w:szCs w:val="24"/>
        </w:rPr>
        <w:t>（一）防制原则</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采取以环境治理为主、化学杀灭为辅的综合防制措施。切实做好环境治理，设置防范设施，针对具体生态环境、具体害情实施药物杀灭，同时要利用四害在防制中的许多共性，把各项防制措施有机地结合起来，消除和控制四害的危害，达到求实高效的目的。</w:t>
      </w:r>
    </w:p>
    <w:p>
      <w:pPr>
        <w:autoSpaceDE w:val="0"/>
        <w:autoSpaceDN w:val="0"/>
        <w:adjustRightInd w:val="0"/>
        <w:spacing w:line="312" w:lineRule="auto"/>
        <w:ind w:firstLine="480" w:firstLineChars="200"/>
        <w:jc w:val="left"/>
        <w:rPr>
          <w:rFonts w:cs="宋体"/>
          <w:b/>
          <w:bCs/>
          <w:sz w:val="24"/>
          <w:szCs w:val="24"/>
        </w:rPr>
      </w:pPr>
      <w:r>
        <w:rPr>
          <w:rFonts w:hint="eastAsia" w:cs="宋体"/>
          <w:b/>
          <w:bCs/>
          <w:sz w:val="24"/>
          <w:szCs w:val="24"/>
        </w:rPr>
        <w:t>（二）防制标准</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病媒生物控制水平按照国家《病媒生物密度控制水平  鼠类》GB/T 27770-2011、《病媒生物密度控制水平  蚊虫》GB/T 27771-2011、《病媒生物密度控制水平  蝇类》GB/T 27772-2011、《病媒生物密度控制水平  蜚蠊》GB/T 27773-2011标准C级及以上执行，现场密度监测按照浙卫办</w:t>
      </w:r>
      <w:r>
        <w:rPr>
          <w:rFonts w:hint="eastAsia" w:cs="宋体"/>
          <w:sz w:val="24"/>
          <w:szCs w:val="24"/>
          <w:lang w:eastAsia="zh-CN"/>
        </w:rPr>
        <w:t>〔</w:t>
      </w:r>
      <w:r>
        <w:rPr>
          <w:rFonts w:hint="eastAsia" w:cs="宋体"/>
          <w:sz w:val="24"/>
          <w:szCs w:val="24"/>
        </w:rPr>
        <w:t>2016</w:t>
      </w:r>
      <w:r>
        <w:rPr>
          <w:rFonts w:hint="eastAsia" w:cs="宋体"/>
          <w:sz w:val="24"/>
          <w:szCs w:val="24"/>
          <w:lang w:eastAsia="zh-CN"/>
        </w:rPr>
        <w:t>〕</w:t>
      </w:r>
      <w:r>
        <w:rPr>
          <w:rFonts w:hint="eastAsia" w:cs="宋体"/>
          <w:sz w:val="24"/>
          <w:szCs w:val="24"/>
        </w:rPr>
        <w:t>15号文件要求进行</w:t>
      </w:r>
      <w:r>
        <w:rPr>
          <w:rFonts w:hint="eastAsia" w:ascii="宋体" w:hAnsi="宋体" w:cs="宋体"/>
          <w:sz w:val="24"/>
          <w:szCs w:val="24"/>
        </w:rPr>
        <w:t>（</w:t>
      </w:r>
      <w:r>
        <w:rPr>
          <w:rFonts w:hint="eastAsia" w:ascii="宋体" w:hAnsi="宋体" w:cs="宋体"/>
          <w:b/>
          <w:bCs/>
          <w:color w:val="FF0000"/>
          <w:sz w:val="24"/>
          <w:szCs w:val="24"/>
        </w:rPr>
        <w:t>上述4个标准须有一样达到B级及以上</w:t>
      </w:r>
      <w:r>
        <w:rPr>
          <w:rFonts w:hint="eastAsia" w:ascii="宋体" w:hAnsi="宋体" w:cs="宋体"/>
          <w:sz w:val="24"/>
          <w:szCs w:val="24"/>
        </w:rPr>
        <w:t>）</w:t>
      </w:r>
      <w:r>
        <w:rPr>
          <w:rFonts w:hint="eastAsia" w:cs="宋体"/>
          <w:sz w:val="24"/>
          <w:szCs w:val="24"/>
        </w:rPr>
        <w:t>。</w:t>
      </w:r>
    </w:p>
    <w:p>
      <w:pPr>
        <w:autoSpaceDE w:val="0"/>
        <w:autoSpaceDN w:val="0"/>
        <w:adjustRightInd w:val="0"/>
        <w:spacing w:line="312" w:lineRule="auto"/>
        <w:ind w:firstLine="480" w:firstLineChars="200"/>
        <w:jc w:val="left"/>
        <w:rPr>
          <w:rFonts w:hint="eastAsia" w:eastAsia="宋体" w:cs="宋体"/>
          <w:b/>
          <w:bCs/>
          <w:sz w:val="24"/>
          <w:szCs w:val="24"/>
          <w:lang w:eastAsia="zh-CN"/>
        </w:rPr>
      </w:pPr>
      <w:r>
        <w:rPr>
          <w:rFonts w:hint="eastAsia" w:cs="宋体"/>
          <w:b/>
          <w:bCs/>
          <w:sz w:val="24"/>
          <w:szCs w:val="24"/>
        </w:rPr>
        <w:t>四、其他</w:t>
      </w:r>
      <w:r>
        <w:rPr>
          <w:rFonts w:hint="eastAsia" w:cs="宋体"/>
          <w:b/>
          <w:bCs/>
          <w:sz w:val="24"/>
          <w:szCs w:val="24"/>
          <w:lang w:eastAsia="zh-CN"/>
        </w:rPr>
        <w:t>：</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（一）成交供应商在承包期内须全面开展除四害消杀工作，严格按照相关技术标准要求控制四害密度，并配合做好爱卫办组织的除四害活动、相关部门的检查考核工作等有关卫生要求；</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（二）未经采购人同意，成交供应商不得私自将本项目转包或分包给第三方，否则采购人有权撤销合同，因此产生的相关损失由成交供应商承担；</w:t>
      </w:r>
    </w:p>
    <w:p>
      <w:pPr>
        <w:autoSpaceDE w:val="0"/>
        <w:autoSpaceDN w:val="0"/>
        <w:adjustRightInd w:val="0"/>
        <w:spacing w:line="312" w:lineRule="auto"/>
        <w:ind w:firstLine="480" w:firstLineChars="200"/>
        <w:jc w:val="left"/>
        <w:rPr>
          <w:rFonts w:cs="宋体"/>
          <w:sz w:val="24"/>
          <w:szCs w:val="24"/>
        </w:rPr>
      </w:pPr>
      <w:r>
        <w:rPr>
          <w:rFonts w:hint="eastAsia" w:cs="宋体"/>
          <w:sz w:val="24"/>
          <w:szCs w:val="24"/>
        </w:rPr>
        <w:t>（三）成交供应商需具备与施工规模相应的器械、设备和交通工具，保证从业人员具有上岗证。</w:t>
      </w:r>
    </w:p>
    <w:p>
      <w:pPr>
        <w:spacing w:line="440" w:lineRule="exact"/>
        <w:ind w:firstLine="720" w:firstLineChars="200"/>
        <w:rPr>
          <w:rFonts w:ascii="宋体" w:cs="宋体"/>
          <w:b/>
          <w:bCs/>
          <w:sz w:val="36"/>
          <w:szCs w:val="36"/>
        </w:rPr>
      </w:pPr>
      <w:r>
        <w:rPr>
          <w:rFonts w:hint="eastAsia" w:ascii="宋体" w:cs="宋体"/>
          <w:b/>
          <w:bCs/>
          <w:sz w:val="36"/>
          <w:szCs w:val="36"/>
        </w:rPr>
        <w:br w:type="page"/>
      </w:r>
    </w:p>
    <w:p>
      <w:pPr>
        <w:spacing w:line="336" w:lineRule="auto"/>
        <w:outlineLvl w:val="0"/>
        <w:rPr>
          <w:rFonts w:ascii="宋体" w:cs="宋体"/>
          <w:b/>
          <w:bCs/>
          <w:sz w:val="36"/>
          <w:szCs w:val="36"/>
        </w:rPr>
      </w:pPr>
      <w:r>
        <w:rPr>
          <w:rFonts w:hint="eastAsia" w:ascii="宋体" w:cs="宋体"/>
          <w:b/>
          <w:bCs/>
          <w:sz w:val="36"/>
          <w:szCs w:val="36"/>
        </w:rPr>
        <w:t xml:space="preserve">               </w:t>
      </w:r>
      <w:bookmarkStart w:id="18" w:name="_Toc3866"/>
      <w:r>
        <w:rPr>
          <w:rFonts w:hint="eastAsia" w:ascii="宋体" w:hAnsi="宋体" w:cs="宋体"/>
          <w:b/>
          <w:bCs/>
          <w:sz w:val="36"/>
          <w:szCs w:val="36"/>
        </w:rPr>
        <w:t>第五章</w:t>
      </w:r>
      <w:r>
        <w:rPr>
          <w:rFonts w:ascii="宋体" w:hAnsi="宋体" w:cs="宋体"/>
          <w:b/>
          <w:bCs/>
          <w:sz w:val="36"/>
          <w:szCs w:val="36"/>
        </w:rPr>
        <w:t xml:space="preserve"> </w:t>
      </w:r>
      <w:r>
        <w:rPr>
          <w:rFonts w:hint="eastAsia" w:ascii="宋体" w:hAnsi="宋体" w:cs="宋体"/>
          <w:b/>
          <w:bCs/>
          <w:sz w:val="36"/>
          <w:szCs w:val="36"/>
        </w:rPr>
        <w:t>合同文本</w:t>
      </w:r>
      <w:bookmarkEnd w:id="18"/>
    </w:p>
    <w:p>
      <w:pPr>
        <w:suppressLineNumbers/>
        <w:spacing w:line="360" w:lineRule="auto"/>
        <w:ind w:firstLine="480" w:firstLineChars="200"/>
        <w:rPr>
          <w:rFonts w:hAnsi="宋体"/>
          <w:sz w:val="24"/>
          <w:u w:val="single"/>
        </w:rPr>
      </w:pPr>
      <w:r>
        <w:rPr>
          <w:rFonts w:hint="eastAsia" w:hAnsi="宋体"/>
          <w:sz w:val="24"/>
        </w:rPr>
        <w:t>需方（甲方）：</w:t>
      </w:r>
      <w:r>
        <w:rPr>
          <w:rFonts w:hint="eastAsia" w:hAnsi="宋体"/>
          <w:sz w:val="24"/>
          <w:u w:val="single"/>
        </w:rPr>
        <w:t xml:space="preserve">  温岭市新河镇人民政府 ；  </w:t>
      </w:r>
    </w:p>
    <w:p>
      <w:pPr>
        <w:suppressLineNumbers/>
        <w:spacing w:line="360" w:lineRule="auto"/>
        <w:ind w:firstLine="480" w:firstLineChars="200"/>
        <w:rPr>
          <w:rFonts w:hAnsi="宋体"/>
          <w:sz w:val="24"/>
          <w:u w:val="single"/>
        </w:rPr>
      </w:pPr>
      <w:r>
        <w:rPr>
          <w:rFonts w:hint="eastAsia" w:hAnsi="宋体"/>
          <w:sz w:val="24"/>
        </w:rPr>
        <w:t>供方（乙方）：</w:t>
      </w:r>
      <w:r>
        <w:rPr>
          <w:rFonts w:hint="eastAsia" w:hAnsi="宋体"/>
          <w:sz w:val="24"/>
          <w:u w:val="single"/>
        </w:rPr>
        <w:t xml:space="preserve">                       ；  </w:t>
      </w:r>
    </w:p>
    <w:p>
      <w:pPr>
        <w:suppressLineNumbers/>
        <w:spacing w:line="360" w:lineRule="auto"/>
        <w:ind w:firstLine="480" w:firstLineChars="200"/>
        <w:jc w:val="left"/>
        <w:rPr>
          <w:rFonts w:hAnsi="宋体"/>
          <w:sz w:val="24"/>
        </w:rPr>
      </w:pPr>
      <w:r>
        <w:rPr>
          <w:rFonts w:hint="eastAsia" w:hAnsi="宋体"/>
          <w:sz w:val="24"/>
          <w:u w:val="single"/>
        </w:rPr>
        <w:t xml:space="preserve">   温岭市新河镇人民政府  </w:t>
      </w:r>
      <w:r>
        <w:rPr>
          <w:rFonts w:hint="eastAsia" w:hAnsi="宋体"/>
          <w:sz w:val="24"/>
        </w:rPr>
        <w:t>（以下称甲方）与</w:t>
      </w:r>
      <w:r>
        <w:rPr>
          <w:rFonts w:hint="eastAsia" w:hAnsi="宋体"/>
          <w:sz w:val="24"/>
          <w:u w:val="single"/>
        </w:rPr>
        <w:t xml:space="preserve">            </w:t>
      </w:r>
      <w:r>
        <w:rPr>
          <w:rFonts w:hint="eastAsia" w:hAnsi="宋体"/>
          <w:sz w:val="24"/>
        </w:rPr>
        <w:t>（以下称乙方）就</w:t>
      </w:r>
      <w:r>
        <w:rPr>
          <w:rFonts w:hint="eastAsia" w:hAnsi="宋体"/>
          <w:sz w:val="24"/>
          <w:u w:val="single"/>
        </w:rPr>
        <w:t xml:space="preserve">  </w:t>
      </w:r>
      <w:r>
        <w:rPr>
          <w:rFonts w:hint="eastAsia" w:hAnsi="宋体"/>
          <w:sz w:val="24"/>
          <w:u w:val="single"/>
          <w:lang w:eastAsia="zh-CN"/>
        </w:rPr>
        <w:t>温岭市新河镇2024年度病媒生物防制专业化服务项目采购</w:t>
      </w:r>
      <w:r>
        <w:rPr>
          <w:rFonts w:hint="eastAsia" w:hAnsi="宋体"/>
          <w:sz w:val="24"/>
          <w:u w:val="single"/>
        </w:rPr>
        <w:t xml:space="preserve">  </w:t>
      </w:r>
      <w:r>
        <w:rPr>
          <w:rFonts w:hint="eastAsia" w:hAnsi="宋体"/>
          <w:sz w:val="24"/>
        </w:rPr>
        <w:t>，经充分协商，达成如下协议：</w:t>
      </w:r>
    </w:p>
    <w:p>
      <w:pPr>
        <w:suppressLineNumbers/>
        <w:spacing w:line="360" w:lineRule="auto"/>
        <w:rPr>
          <w:rFonts w:hAnsi="宋体"/>
          <w:b/>
          <w:bCs/>
          <w:sz w:val="24"/>
        </w:rPr>
      </w:pPr>
      <w:r>
        <w:rPr>
          <w:rFonts w:hint="eastAsia" w:hAnsi="宋体"/>
          <w:b/>
          <w:bCs/>
          <w:sz w:val="24"/>
        </w:rPr>
        <w:t>一、服务内容、期限及要求</w:t>
      </w:r>
    </w:p>
    <w:p>
      <w:pPr>
        <w:suppressLineNumbers/>
        <w:spacing w:line="360" w:lineRule="auto"/>
        <w:ind w:firstLine="480" w:firstLineChars="200"/>
        <w:rPr>
          <w:rFonts w:hAnsi="宋体"/>
          <w:sz w:val="24"/>
        </w:rPr>
      </w:pPr>
      <w:r>
        <w:rPr>
          <w:rFonts w:hint="eastAsia" w:hAnsi="宋体"/>
          <w:sz w:val="24"/>
        </w:rPr>
        <w:t>1、服务内容：温岭市新河镇范围内的“四害”消杀工作及“四害”密度检测服务；居民户“除四害”药物的供应等。</w:t>
      </w:r>
    </w:p>
    <w:p>
      <w:pPr>
        <w:suppressLineNumbers/>
        <w:spacing w:line="360" w:lineRule="auto"/>
        <w:ind w:firstLine="480" w:firstLineChars="200"/>
        <w:rPr>
          <w:rFonts w:hAnsi="宋体"/>
          <w:sz w:val="24"/>
        </w:rPr>
      </w:pPr>
      <w:r>
        <w:rPr>
          <w:rFonts w:hint="eastAsia" w:hAnsi="宋体"/>
          <w:sz w:val="24"/>
        </w:rPr>
        <w:t>2、服务期限：合同签订之日起一年。</w:t>
      </w:r>
    </w:p>
    <w:p>
      <w:pPr>
        <w:suppressLineNumbers/>
        <w:spacing w:line="360" w:lineRule="auto"/>
        <w:rPr>
          <w:rFonts w:hAnsi="宋体"/>
          <w:b/>
          <w:bCs/>
          <w:sz w:val="24"/>
        </w:rPr>
      </w:pPr>
      <w:r>
        <w:rPr>
          <w:rFonts w:hint="eastAsia" w:hAnsi="宋体"/>
          <w:b/>
          <w:bCs/>
          <w:sz w:val="24"/>
        </w:rPr>
        <w:t>二、合同明细及金额</w:t>
      </w:r>
    </w:p>
    <w:p>
      <w:pPr>
        <w:suppressLineNumbers/>
        <w:spacing w:line="360" w:lineRule="auto"/>
        <w:ind w:firstLine="480" w:firstLineChars="200"/>
        <w:rPr>
          <w:rFonts w:hAnsi="宋体"/>
          <w:sz w:val="24"/>
        </w:rPr>
      </w:pPr>
      <w:r>
        <w:rPr>
          <w:rFonts w:hint="eastAsia" w:hAnsi="宋体"/>
          <w:sz w:val="24"/>
        </w:rPr>
        <w:t xml:space="preserve">温岭市新河镇除四害专业化服务费（大写）： </w:t>
      </w:r>
      <w:r>
        <w:rPr>
          <w:rFonts w:hint="eastAsia" w:hAnsi="宋体"/>
          <w:sz w:val="24"/>
          <w:u w:val="single"/>
        </w:rPr>
        <w:t xml:space="preserve">          </w:t>
      </w:r>
      <w:r>
        <w:rPr>
          <w:rFonts w:hint="eastAsia" w:hAnsi="宋体"/>
          <w:sz w:val="24"/>
        </w:rPr>
        <w:t>万元（¥：</w:t>
      </w:r>
      <w:r>
        <w:rPr>
          <w:rFonts w:hint="eastAsia" w:hAnsi="宋体"/>
          <w:sz w:val="24"/>
          <w:u w:val="single"/>
        </w:rPr>
        <w:t xml:space="preserve">    </w:t>
      </w:r>
      <w:r>
        <w:rPr>
          <w:rFonts w:hint="eastAsia" w:hAnsi="宋体"/>
          <w:sz w:val="24"/>
        </w:rPr>
        <w:t>元）。</w:t>
      </w:r>
    </w:p>
    <w:p>
      <w:pPr>
        <w:suppressLineNumbers/>
        <w:spacing w:line="360" w:lineRule="auto"/>
        <w:ind w:firstLine="480" w:firstLineChars="200"/>
        <w:rPr>
          <w:rFonts w:hAnsi="宋体"/>
          <w:sz w:val="24"/>
        </w:rPr>
      </w:pPr>
      <w:r>
        <w:rPr>
          <w:rFonts w:hint="eastAsia" w:hAnsi="宋体"/>
          <w:sz w:val="24"/>
        </w:rPr>
        <w:t>服务内容明细：见合同附件。</w:t>
      </w:r>
    </w:p>
    <w:p>
      <w:pPr>
        <w:suppressLineNumbers/>
        <w:spacing w:line="360" w:lineRule="auto"/>
        <w:rPr>
          <w:rFonts w:hAnsi="宋体"/>
          <w:b/>
          <w:bCs/>
          <w:sz w:val="24"/>
        </w:rPr>
      </w:pPr>
      <w:r>
        <w:rPr>
          <w:rFonts w:hint="eastAsia" w:hAnsi="宋体"/>
          <w:b/>
          <w:bCs/>
          <w:sz w:val="24"/>
        </w:rPr>
        <w:t>三、付款方式</w:t>
      </w:r>
    </w:p>
    <w:p>
      <w:pPr>
        <w:suppressLineNumbers/>
        <w:spacing w:line="360" w:lineRule="auto"/>
        <w:ind w:firstLine="480" w:firstLineChars="200"/>
        <w:rPr>
          <w:rFonts w:hAnsi="宋体"/>
          <w:sz w:val="24"/>
          <w:lang w:val="zh-CN"/>
        </w:rPr>
      </w:pPr>
      <w:r>
        <w:rPr>
          <w:rFonts w:hint="eastAsia" w:hAnsi="宋体"/>
          <w:sz w:val="24"/>
          <w:lang w:val="zh-CN"/>
        </w:rPr>
        <w:t>合同签订后，①甲方先预付给乙方总服务费的</w:t>
      </w:r>
      <w:r>
        <w:rPr>
          <w:rFonts w:hint="eastAsia" w:hAnsi="宋体"/>
          <w:sz w:val="24"/>
          <w:lang w:val="en-US" w:eastAsia="zh-CN"/>
        </w:rPr>
        <w:t>2</w:t>
      </w:r>
      <w:r>
        <w:rPr>
          <w:rFonts w:hint="eastAsia" w:hAnsi="宋体"/>
          <w:sz w:val="24"/>
          <w:lang w:val="zh-CN"/>
        </w:rPr>
        <w:t>0%作为预付款；②2024年1</w:t>
      </w:r>
      <w:r>
        <w:rPr>
          <w:rFonts w:hint="eastAsia" w:hAnsi="宋体"/>
          <w:sz w:val="24"/>
        </w:rPr>
        <w:t>1</w:t>
      </w:r>
      <w:r>
        <w:rPr>
          <w:rFonts w:hint="eastAsia" w:hAnsi="宋体"/>
          <w:sz w:val="24"/>
          <w:lang w:val="zh-CN"/>
        </w:rPr>
        <w:t>月30日前经甲方确认后支付至总服务费的</w:t>
      </w:r>
      <w:r>
        <w:rPr>
          <w:rFonts w:hint="eastAsia" w:hAnsi="宋体"/>
          <w:sz w:val="24"/>
        </w:rPr>
        <w:t>5</w:t>
      </w:r>
      <w:r>
        <w:rPr>
          <w:rFonts w:hint="eastAsia" w:hAnsi="宋体"/>
          <w:sz w:val="24"/>
          <w:lang w:val="zh-CN"/>
        </w:rPr>
        <w:t>0%；</w:t>
      </w:r>
      <w:r>
        <w:rPr>
          <w:rFonts w:hint="eastAsia" w:ascii="宋体" w:hAnsi="宋体" w:cs="宋体"/>
          <w:sz w:val="24"/>
          <w:lang w:val="zh-CN"/>
        </w:rPr>
        <w:t>③</w:t>
      </w:r>
      <w:r>
        <w:rPr>
          <w:rFonts w:hint="eastAsia" w:hAnsi="宋体"/>
          <w:sz w:val="24"/>
          <w:lang w:val="zh-CN"/>
        </w:rPr>
        <w:t>在总服务期满后，达到国家病媒生物防治密度水平C级及以上水平或经甲方认可后支付至总服务费的100%。</w:t>
      </w:r>
    </w:p>
    <w:p>
      <w:pPr>
        <w:suppressLineNumbers/>
        <w:spacing w:line="360" w:lineRule="auto"/>
        <w:rPr>
          <w:rFonts w:hAnsi="宋体"/>
          <w:b/>
          <w:bCs/>
          <w:sz w:val="24"/>
        </w:rPr>
      </w:pPr>
      <w:r>
        <w:rPr>
          <w:rFonts w:hint="eastAsia" w:hAnsi="宋体"/>
          <w:b/>
          <w:bCs/>
          <w:sz w:val="24"/>
        </w:rPr>
        <w:t>四、履约保证金</w:t>
      </w:r>
    </w:p>
    <w:p>
      <w:pPr>
        <w:suppressLineNumbers/>
        <w:spacing w:line="360" w:lineRule="auto"/>
        <w:ind w:firstLine="480" w:firstLineChars="200"/>
        <w:rPr>
          <w:rFonts w:hAnsi="宋体"/>
          <w:sz w:val="24"/>
        </w:rPr>
      </w:pPr>
      <w:r>
        <w:rPr>
          <w:rFonts w:hint="eastAsia" w:hAnsi="宋体"/>
          <w:sz w:val="24"/>
        </w:rPr>
        <w:t>履约保证金金额：合同金额的</w:t>
      </w:r>
      <w:r>
        <w:rPr>
          <w:rFonts w:hint="eastAsia" w:hAnsi="宋体"/>
          <w:sz w:val="24"/>
          <w:lang w:val="en-US" w:eastAsia="zh-CN"/>
        </w:rPr>
        <w:t>1%</w:t>
      </w:r>
      <w:r>
        <w:rPr>
          <w:rFonts w:hint="eastAsia" w:hAnsi="宋体"/>
          <w:sz w:val="24"/>
        </w:rPr>
        <w:t>；</w:t>
      </w:r>
    </w:p>
    <w:p>
      <w:pPr>
        <w:suppressLineNumbers/>
        <w:spacing w:line="360" w:lineRule="auto"/>
        <w:ind w:firstLine="480" w:firstLineChars="200"/>
        <w:rPr>
          <w:rFonts w:hAnsi="宋体"/>
          <w:sz w:val="24"/>
        </w:rPr>
      </w:pPr>
      <w:r>
        <w:rPr>
          <w:rFonts w:hint="eastAsia" w:hAnsi="宋体"/>
          <w:sz w:val="24"/>
        </w:rPr>
        <w:t>履约保证金形式：网银、电汇、转账支付等方式 ；</w:t>
      </w:r>
    </w:p>
    <w:p>
      <w:pPr>
        <w:suppressLineNumbers/>
        <w:spacing w:line="360" w:lineRule="auto"/>
        <w:ind w:firstLine="480" w:firstLineChars="200"/>
        <w:rPr>
          <w:rFonts w:hAnsi="宋体"/>
          <w:sz w:val="24"/>
        </w:rPr>
      </w:pPr>
      <w:r>
        <w:rPr>
          <w:rFonts w:hint="eastAsia" w:hAnsi="宋体"/>
          <w:sz w:val="24"/>
        </w:rPr>
        <w:t>履约保证金的退还：乙方在履约期间未出现违约行为，其履约保证金待履约责任期满（全部完成验收合格）后</w:t>
      </w:r>
      <w:r>
        <w:rPr>
          <w:rFonts w:hint="eastAsia" w:hAnsi="宋体"/>
          <w:sz w:val="24"/>
          <w:lang w:val="en-US" w:eastAsia="zh-CN"/>
        </w:rPr>
        <w:t>3</w:t>
      </w:r>
      <w:r>
        <w:rPr>
          <w:rFonts w:hint="eastAsia" w:hAnsi="宋体"/>
          <w:sz w:val="24"/>
        </w:rPr>
        <w:t>0天内退还乙方（履约保证金不计息）。</w:t>
      </w:r>
    </w:p>
    <w:p>
      <w:pPr>
        <w:suppressLineNumbers/>
        <w:spacing w:line="360" w:lineRule="auto"/>
        <w:rPr>
          <w:rFonts w:hAnsi="宋体"/>
          <w:b/>
          <w:bCs/>
          <w:sz w:val="24"/>
        </w:rPr>
      </w:pPr>
      <w:r>
        <w:rPr>
          <w:rFonts w:hint="eastAsia" w:hAnsi="宋体"/>
          <w:b/>
          <w:bCs/>
          <w:sz w:val="24"/>
        </w:rPr>
        <w:t>五、服务范围及质量</w:t>
      </w:r>
    </w:p>
    <w:p>
      <w:pPr>
        <w:suppressLineNumbers/>
        <w:spacing w:line="360" w:lineRule="auto"/>
        <w:ind w:firstLine="480" w:firstLineChars="200"/>
        <w:rPr>
          <w:rFonts w:hAnsi="宋体"/>
          <w:sz w:val="24"/>
        </w:rPr>
      </w:pPr>
      <w:r>
        <w:rPr>
          <w:rFonts w:hint="eastAsia" w:hAnsi="宋体"/>
          <w:sz w:val="24"/>
        </w:rPr>
        <w:t>（一）消杀范围</w:t>
      </w:r>
      <w:r>
        <w:rPr>
          <w:rFonts w:hint="eastAsia" w:hAnsi="宋体"/>
          <w:sz w:val="24"/>
          <w:lang w:eastAsia="zh-CN"/>
        </w:rPr>
        <w:t>：</w:t>
      </w:r>
      <w:r>
        <w:rPr>
          <w:rFonts w:hint="eastAsia" w:hAnsi="宋体"/>
          <w:sz w:val="24"/>
        </w:rPr>
        <w:t xml:space="preserve"> </w:t>
      </w:r>
    </w:p>
    <w:p>
      <w:pPr>
        <w:spacing w:line="312" w:lineRule="auto"/>
        <w:ind w:firstLine="480" w:firstLineChars="200"/>
        <w:rPr>
          <w:sz w:val="24"/>
        </w:rPr>
      </w:pPr>
      <w:r>
        <w:rPr>
          <w:rFonts w:hint="eastAsia"/>
          <w:sz w:val="24"/>
        </w:rPr>
        <w:t>1、本项目为温岭市新河镇除四害专业化服务项目采购，新河镇【</w:t>
      </w:r>
      <w:r>
        <w:rPr>
          <w:rFonts w:hint="eastAsia"/>
          <w:sz w:val="24"/>
          <w:lang w:eastAsia="zh-CN"/>
        </w:rPr>
        <w:t>新河镇建成区消杀范围</w:t>
      </w:r>
      <w:r>
        <w:rPr>
          <w:rFonts w:hint="eastAsia"/>
          <w:sz w:val="24"/>
        </w:rPr>
        <w:t>约</w:t>
      </w:r>
      <w:r>
        <w:rPr>
          <w:rFonts w:hint="eastAsia"/>
          <w:sz w:val="24"/>
          <w:lang w:eastAsia="zh-CN"/>
        </w:rPr>
        <w:t>8.74平方公里（包含2个除四害村）</w:t>
      </w:r>
      <w:r>
        <w:rPr>
          <w:rFonts w:hint="eastAsia"/>
          <w:sz w:val="24"/>
        </w:rPr>
        <w:t>；辖区内居民户约40952户（包括外来人口）】范围内的公共环境（包括居民楼、重点场所、垃圾收集点、建筑工地、绿化带、下水道、河岸边、窨井、水体、公园、闲置空地、地下室、地下车库、车棚雨棚、垃圾桶[箱]、公共厕所等）、企事业单位及六小行业【小餐饮店、小食品店（含小副食品店、小超市）、小美容美发店、小浴室（含小足浴）、小旅店、小歌舞厅等】至少3000家，农副产品市场（含菜市场）9个及其他沿街店铺等的除“四害”专业性治理服务（含居民户的灭蟑、蚊、蝇、鼠药物的供应约（40952）户）。</w:t>
      </w:r>
    </w:p>
    <w:p>
      <w:pPr>
        <w:spacing w:line="312" w:lineRule="auto"/>
        <w:ind w:firstLine="480" w:firstLineChars="200"/>
        <w:rPr>
          <w:sz w:val="24"/>
        </w:rPr>
      </w:pPr>
      <w:r>
        <w:rPr>
          <w:rFonts w:hint="eastAsia"/>
          <w:sz w:val="24"/>
        </w:rPr>
        <w:t>注：以上数量均为预估数值，结算时按实调整。</w:t>
      </w:r>
    </w:p>
    <w:p>
      <w:pPr>
        <w:suppressLineNumbers/>
        <w:spacing w:line="360" w:lineRule="auto"/>
        <w:ind w:firstLine="240" w:firstLineChars="100"/>
        <w:rPr>
          <w:rFonts w:hAnsi="宋体"/>
          <w:b/>
          <w:bCs/>
          <w:sz w:val="24"/>
        </w:rPr>
      </w:pPr>
      <w:r>
        <w:rPr>
          <w:rFonts w:hint="eastAsia" w:hAnsi="宋体"/>
          <w:b/>
          <w:bCs/>
          <w:sz w:val="24"/>
        </w:rPr>
        <w:t>六、甲方的权利和义务</w:t>
      </w:r>
    </w:p>
    <w:p>
      <w:pPr>
        <w:suppressLineNumbers/>
        <w:spacing w:line="360" w:lineRule="auto"/>
        <w:ind w:firstLine="480" w:firstLineChars="200"/>
        <w:rPr>
          <w:rFonts w:hAnsi="宋体"/>
          <w:sz w:val="24"/>
        </w:rPr>
      </w:pPr>
      <w:r>
        <w:rPr>
          <w:rFonts w:hint="eastAsia" w:hAnsi="宋体"/>
          <w:sz w:val="24"/>
        </w:rPr>
        <w:t>1、在合同期内配合乙方开展服务工作，做好协调工作。</w:t>
      </w:r>
    </w:p>
    <w:p>
      <w:pPr>
        <w:suppressLineNumbers/>
        <w:spacing w:line="360" w:lineRule="auto"/>
        <w:ind w:firstLine="480" w:firstLineChars="200"/>
        <w:rPr>
          <w:rFonts w:hAnsi="宋体"/>
          <w:sz w:val="24"/>
        </w:rPr>
      </w:pPr>
      <w:r>
        <w:rPr>
          <w:rFonts w:hint="eastAsia" w:hAnsi="宋体"/>
          <w:sz w:val="24"/>
        </w:rPr>
        <w:t>2、负责做好公共环境环卫基础设施建设、维护，督促保持环境清洁卫生；</w:t>
      </w:r>
    </w:p>
    <w:p>
      <w:pPr>
        <w:suppressLineNumbers/>
        <w:spacing w:line="360" w:lineRule="auto"/>
        <w:ind w:firstLine="480" w:firstLineChars="200"/>
        <w:rPr>
          <w:rFonts w:hAnsi="宋体"/>
          <w:sz w:val="24"/>
        </w:rPr>
      </w:pPr>
      <w:r>
        <w:rPr>
          <w:rFonts w:hint="eastAsia" w:hAnsi="宋体"/>
          <w:sz w:val="24"/>
        </w:rPr>
        <w:t>3、经常开展单位、各村的除四害工作的宣传；督促单位、各村落实除四害工作相关职责。</w:t>
      </w:r>
    </w:p>
    <w:p>
      <w:pPr>
        <w:suppressLineNumbers/>
        <w:spacing w:line="360" w:lineRule="auto"/>
        <w:ind w:firstLine="480" w:firstLineChars="200"/>
        <w:rPr>
          <w:rFonts w:hAnsi="宋体"/>
          <w:sz w:val="24"/>
        </w:rPr>
      </w:pPr>
      <w:r>
        <w:rPr>
          <w:rFonts w:hint="eastAsia" w:hAnsi="宋体"/>
          <w:sz w:val="24"/>
        </w:rPr>
        <w:t>4、有权委托第三方履行</w:t>
      </w:r>
      <w:r>
        <w:rPr>
          <w:rFonts w:hint="eastAsia" w:hAnsi="宋体"/>
          <w:sz w:val="24"/>
          <w:lang w:eastAsia="zh-CN"/>
        </w:rPr>
        <w:t>对</w:t>
      </w:r>
      <w:r>
        <w:rPr>
          <w:rFonts w:hint="eastAsia" w:hAnsi="宋体"/>
          <w:sz w:val="24"/>
        </w:rPr>
        <w:t>乙方的服务质量进行监督，并对服务不符合合同要求的，提出整改意见，作出相应违约处理，及至终止合同。</w:t>
      </w:r>
    </w:p>
    <w:p>
      <w:pPr>
        <w:suppressLineNumbers/>
        <w:spacing w:line="360" w:lineRule="auto"/>
        <w:ind w:firstLine="480" w:firstLineChars="200"/>
        <w:rPr>
          <w:rFonts w:hAnsi="宋体"/>
          <w:sz w:val="24"/>
        </w:rPr>
      </w:pPr>
      <w:r>
        <w:rPr>
          <w:rFonts w:hint="eastAsia" w:hAnsi="宋体"/>
          <w:sz w:val="24"/>
        </w:rPr>
        <w:t>5、并按合同规定支付服务费。</w:t>
      </w:r>
    </w:p>
    <w:p>
      <w:pPr>
        <w:suppressLineNumbers/>
        <w:spacing w:line="360" w:lineRule="auto"/>
        <w:rPr>
          <w:rFonts w:hAnsi="宋体"/>
          <w:b/>
          <w:bCs/>
          <w:sz w:val="24"/>
        </w:rPr>
      </w:pPr>
      <w:r>
        <w:rPr>
          <w:rFonts w:hint="eastAsia" w:hAnsi="宋体"/>
          <w:b/>
          <w:bCs/>
          <w:sz w:val="24"/>
        </w:rPr>
        <w:t xml:space="preserve">七、乙方的权利和义务 </w:t>
      </w:r>
    </w:p>
    <w:p>
      <w:pPr>
        <w:suppressLineNumbers/>
        <w:spacing w:line="360" w:lineRule="auto"/>
        <w:ind w:firstLine="480" w:firstLineChars="200"/>
        <w:rPr>
          <w:rFonts w:hAnsi="宋体"/>
          <w:sz w:val="24"/>
        </w:rPr>
      </w:pPr>
      <w:r>
        <w:rPr>
          <w:rFonts w:hint="eastAsia" w:hAnsi="宋体"/>
          <w:sz w:val="24"/>
        </w:rPr>
        <w:t>1、乙方按要求完成服务后，有权及时获得甲方的服务费用。</w:t>
      </w:r>
    </w:p>
    <w:p>
      <w:pPr>
        <w:suppressLineNumbers/>
        <w:spacing w:line="360" w:lineRule="auto"/>
        <w:ind w:firstLine="480" w:firstLineChars="200"/>
        <w:rPr>
          <w:rFonts w:hAnsi="宋体"/>
          <w:sz w:val="24"/>
        </w:rPr>
      </w:pPr>
      <w:r>
        <w:rPr>
          <w:rFonts w:hint="eastAsia" w:hAnsi="宋体"/>
          <w:sz w:val="24"/>
        </w:rPr>
        <w:t>2、乙方须严格执行投标文件承诺的除四害实施方案、技术方案；招标过程中涉及的文件、资料以及有关联的承诺作为合同的有效组成部分。</w:t>
      </w:r>
    </w:p>
    <w:p>
      <w:pPr>
        <w:suppressLineNumbers/>
        <w:spacing w:line="360" w:lineRule="auto"/>
        <w:ind w:firstLine="480" w:firstLineChars="200"/>
        <w:rPr>
          <w:rFonts w:hAnsi="宋体"/>
          <w:sz w:val="24"/>
        </w:rPr>
      </w:pPr>
      <w:r>
        <w:rPr>
          <w:rFonts w:hint="eastAsia" w:hAnsi="宋体"/>
          <w:sz w:val="24"/>
        </w:rPr>
        <w:t>3、乙方在承包期内须全面开展除四害消杀工作，服务范围内鼠、蚊、蝇、蟑螂等病媒生物得到有效控制，达到国家病媒生物密度控制标准（GB/T 27770-2011鼠类、GB/T 27771-2011蚊虫、GB/T 27772-2011蝇类、GB/T 27773-2011蜚蠊）C级及以上要求（</w:t>
      </w:r>
      <w:r>
        <w:rPr>
          <w:rFonts w:hint="eastAsia" w:hAnsi="宋体"/>
          <w:b/>
          <w:bCs/>
          <w:color w:val="FF0000"/>
          <w:sz w:val="24"/>
        </w:rPr>
        <w:t>上述4个标准须有一样达到B级及以上</w:t>
      </w:r>
      <w:r>
        <w:rPr>
          <w:rFonts w:hint="eastAsia" w:hAnsi="宋体"/>
          <w:sz w:val="24"/>
        </w:rPr>
        <w:t>）。</w:t>
      </w:r>
    </w:p>
    <w:p>
      <w:pPr>
        <w:suppressLineNumbers/>
        <w:spacing w:line="360" w:lineRule="auto"/>
        <w:ind w:firstLine="480" w:firstLineChars="200"/>
        <w:rPr>
          <w:rFonts w:hAnsi="宋体"/>
          <w:sz w:val="24"/>
        </w:rPr>
      </w:pPr>
      <w:r>
        <w:rPr>
          <w:rFonts w:hint="eastAsia" w:hAnsi="宋体"/>
          <w:sz w:val="24"/>
        </w:rPr>
        <w:t>4、乙方须将服务于本项目人员分工方案、工作人员的名单、电话号码、身份证复印件、有效的病媒生物预防控制培训合格证明复印件等资料交甲方备案，需要变更相关人员时须经甲方同意并更新备案资料。</w:t>
      </w:r>
    </w:p>
    <w:p>
      <w:pPr>
        <w:suppressLineNumbers/>
        <w:spacing w:line="360" w:lineRule="auto"/>
        <w:ind w:firstLine="480" w:firstLineChars="200"/>
        <w:rPr>
          <w:rFonts w:hAnsi="宋体"/>
          <w:sz w:val="24"/>
        </w:rPr>
      </w:pPr>
      <w:r>
        <w:rPr>
          <w:rFonts w:hint="eastAsia" w:hAnsi="宋体"/>
          <w:sz w:val="24"/>
        </w:rPr>
        <w:t>5、乙方需具备与施工规模相应的器械、设备和交通工具，服务于本项目人的固定技术员工和临时调配从业人员应均应持</w:t>
      </w:r>
      <w:r>
        <w:rPr>
          <w:rFonts w:hint="eastAsia" w:hAnsi="宋体"/>
          <w:b/>
          <w:bCs/>
          <w:sz w:val="24"/>
        </w:rPr>
        <w:t>有效的病媒生物预防控制培训合格证明</w:t>
      </w:r>
      <w:r>
        <w:rPr>
          <w:rFonts w:hint="eastAsia" w:hAnsi="宋体"/>
          <w:sz w:val="24"/>
        </w:rPr>
        <w:t>上岗</w:t>
      </w:r>
      <w:r>
        <w:rPr>
          <w:rFonts w:hint="eastAsia" w:hAnsi="宋体"/>
          <w:sz w:val="24"/>
          <w:lang w:eastAsia="zh-CN"/>
        </w:rPr>
        <w:t>，</w:t>
      </w:r>
      <w:r>
        <w:rPr>
          <w:rFonts w:hint="eastAsia" w:hAnsi="宋体"/>
          <w:sz w:val="24"/>
        </w:rPr>
        <w:t>固定技术员工必须每次参与现场消杀。</w:t>
      </w:r>
    </w:p>
    <w:p>
      <w:pPr>
        <w:suppressLineNumbers/>
        <w:spacing w:line="360" w:lineRule="auto"/>
        <w:ind w:firstLine="480" w:firstLineChars="200"/>
        <w:rPr>
          <w:rFonts w:hAnsi="宋体"/>
          <w:sz w:val="24"/>
        </w:rPr>
      </w:pPr>
      <w:r>
        <w:rPr>
          <w:rFonts w:hint="eastAsia" w:hAnsi="宋体"/>
          <w:sz w:val="24"/>
        </w:rPr>
        <w:t>6、乙方有责任协助甲方的开展除四害消杀服务指导以及防制宣传工作，做好技术支持，整理、完善甲方在国家卫生乡镇复评时所需的相关资料，每月做好工作计划、总结、密度监测、药械消耗及消杀工作记录表等资料的整理收集，并附当月参与消杀作业的固定和临时抽调从业人员清单，一并及时报送甲方。</w:t>
      </w:r>
    </w:p>
    <w:p>
      <w:pPr>
        <w:suppressLineNumbers/>
        <w:spacing w:line="360" w:lineRule="auto"/>
        <w:ind w:firstLine="480" w:firstLineChars="200"/>
        <w:rPr>
          <w:rFonts w:hAnsi="宋体"/>
          <w:sz w:val="24"/>
        </w:rPr>
      </w:pPr>
      <w:r>
        <w:rPr>
          <w:rFonts w:hint="eastAsia" w:hAnsi="宋体"/>
          <w:sz w:val="24"/>
        </w:rPr>
        <w:t>7、乙方有责任指导“六小”单位消杀后及时清理四害尸体；帮助服务单位健全“四害”防制设施，提出改进意见，指导服务单位建立健全“除四害”工作台账。甲方要求乙方提供直接或间接服务于本项目的各类型资料时，乙方必须服从并按时如实提供。</w:t>
      </w:r>
    </w:p>
    <w:p>
      <w:pPr>
        <w:suppressLineNumbers/>
        <w:spacing w:line="360" w:lineRule="auto"/>
        <w:ind w:firstLine="480" w:firstLineChars="200"/>
        <w:rPr>
          <w:rFonts w:hAnsi="宋体"/>
          <w:sz w:val="24"/>
        </w:rPr>
      </w:pPr>
      <w:r>
        <w:rPr>
          <w:rFonts w:hint="eastAsia" w:hAnsi="宋体"/>
          <w:sz w:val="24"/>
        </w:rPr>
        <w:t>8、乙方除四害药物须与投标时技术文件提及的拟使用的消杀器械和药物一览表一致；药械选用符合国家规定要求，并经甲方认定的药物，严禁使用国家禁用或伪劣的消杀药物；自配药物，需向甲方提供毒饵主剂和诱饵主剂的有关证书；药物使用剂量、浓度、时间、方法、配伍等符合技术规定，不符合技术规定的药物甲方视为无效药品。</w:t>
      </w:r>
    </w:p>
    <w:p>
      <w:pPr>
        <w:suppressLineNumbers/>
        <w:spacing w:line="360" w:lineRule="auto"/>
        <w:ind w:firstLine="480" w:firstLineChars="200"/>
        <w:rPr>
          <w:rFonts w:hAnsi="宋体"/>
          <w:sz w:val="24"/>
        </w:rPr>
      </w:pPr>
      <w:r>
        <w:rPr>
          <w:rFonts w:hint="eastAsia" w:hAnsi="宋体"/>
          <w:sz w:val="24"/>
        </w:rPr>
        <w:t>9、乙方根据不同病媒生物特点、季节、环境类型等，科学合理安排消杀工作。</w:t>
      </w:r>
    </w:p>
    <w:p>
      <w:pPr>
        <w:suppressLineNumbers/>
        <w:spacing w:line="360" w:lineRule="auto"/>
        <w:ind w:firstLine="480" w:firstLineChars="200"/>
        <w:rPr>
          <w:rFonts w:hAnsi="宋体"/>
          <w:sz w:val="24"/>
        </w:rPr>
      </w:pPr>
      <w:r>
        <w:rPr>
          <w:rFonts w:hint="eastAsia" w:hAnsi="宋体"/>
          <w:sz w:val="24"/>
        </w:rPr>
        <w:t>10、执行合同期间不得发生因操作不规范而引起的安全事故和投诉事件，对易发生人畜误食的场所，应设中文警示标识，服务期间发生人畜药物中毒事故或其它人身财产损害的由乙方自行负责，做好药品采购使用的相关备案登记。</w:t>
      </w:r>
    </w:p>
    <w:p>
      <w:pPr>
        <w:suppressLineNumbers/>
        <w:spacing w:line="360" w:lineRule="auto"/>
        <w:ind w:firstLine="480" w:firstLineChars="200"/>
        <w:rPr>
          <w:rFonts w:hAnsi="宋体"/>
          <w:sz w:val="24"/>
        </w:rPr>
      </w:pPr>
      <w:r>
        <w:rPr>
          <w:rFonts w:hint="eastAsia" w:hAnsi="宋体"/>
          <w:sz w:val="24"/>
        </w:rPr>
        <w:t>11、乙方必须如实向甲方提供乙方在温岭市建成区范围内从事其他除四害或病媒生物预防控制有偿服务的详细资料。</w:t>
      </w:r>
    </w:p>
    <w:p>
      <w:pPr>
        <w:suppressLineNumbers/>
        <w:spacing w:line="360" w:lineRule="auto"/>
        <w:rPr>
          <w:rFonts w:hAnsi="宋体"/>
          <w:b/>
          <w:bCs/>
          <w:sz w:val="24"/>
        </w:rPr>
      </w:pPr>
      <w:r>
        <w:rPr>
          <w:rFonts w:hint="eastAsia" w:hAnsi="宋体"/>
          <w:b/>
          <w:bCs/>
          <w:sz w:val="24"/>
        </w:rPr>
        <w:t>八、违约责任</w:t>
      </w:r>
    </w:p>
    <w:p>
      <w:pPr>
        <w:suppressLineNumbers/>
        <w:spacing w:line="360" w:lineRule="auto"/>
        <w:ind w:firstLine="480" w:firstLineChars="200"/>
        <w:rPr>
          <w:rFonts w:hAnsi="宋体"/>
          <w:sz w:val="24"/>
        </w:rPr>
      </w:pPr>
      <w:r>
        <w:rPr>
          <w:rFonts w:hint="eastAsia" w:hAnsi="宋体"/>
          <w:sz w:val="24"/>
        </w:rPr>
        <w:t>1、甲方如未能履行本合同规定的义务，致使乙方无法正常开展服务工作，乙方有权及时书面通知甲方。</w:t>
      </w:r>
    </w:p>
    <w:p>
      <w:pPr>
        <w:suppressLineNumbers/>
        <w:spacing w:line="360" w:lineRule="auto"/>
        <w:ind w:firstLine="480" w:firstLineChars="200"/>
        <w:rPr>
          <w:rFonts w:hAnsi="宋体"/>
          <w:sz w:val="24"/>
        </w:rPr>
      </w:pPr>
      <w:r>
        <w:rPr>
          <w:rFonts w:hint="eastAsia" w:hAnsi="宋体"/>
          <w:sz w:val="24"/>
        </w:rPr>
        <w:t xml:space="preserve">2、乙方如未能按期完成合同要求的，甲方有权及时书面通知乙方。 </w:t>
      </w:r>
    </w:p>
    <w:p>
      <w:pPr>
        <w:suppressLineNumbers/>
        <w:spacing w:line="360" w:lineRule="auto"/>
        <w:ind w:firstLine="480" w:firstLineChars="200"/>
        <w:rPr>
          <w:rFonts w:hAnsi="宋体"/>
          <w:sz w:val="24"/>
        </w:rPr>
      </w:pPr>
      <w:r>
        <w:rPr>
          <w:rFonts w:hint="eastAsia" w:hAnsi="宋体"/>
          <w:sz w:val="24"/>
        </w:rPr>
        <w:t>3、在委托服务期内，乙方未能通过爱卫办检查考核及上级爱卫会的除四害监督考核等有关卫生要求的，甲方有权责令整改，直至通过相关验收为止；若逾期未整改视作违约，相关责任由乙方承担。</w:t>
      </w:r>
    </w:p>
    <w:p>
      <w:pPr>
        <w:suppressLineNumbers/>
        <w:spacing w:line="360" w:lineRule="auto"/>
        <w:ind w:firstLine="480" w:firstLineChars="200"/>
        <w:rPr>
          <w:rFonts w:hAnsi="宋体"/>
          <w:sz w:val="24"/>
        </w:rPr>
      </w:pPr>
      <w:r>
        <w:rPr>
          <w:rFonts w:hint="eastAsia" w:hAnsi="宋体"/>
          <w:sz w:val="24"/>
        </w:rPr>
        <w:t>4、乙方未按第七条（乙方的权利和义务）第2、4、5、6、7、8、9、11款执行，甲方可即时提出书面警告，并进行扣款处理，其中抽查发现使用药械与投标提供信息不一致或未按照甲方要求的每次扣款5000元（使用违禁药物扣款后立即终止合同），每发现一次消杀人员未到岗或参与现场消杀的技术员工与名单不相符的每人次扣款5000元，并开具整改通知书，对未持有效的病媒生物预防控制培训合格证明上岗作业的每人次扣款10000元并开具整改通知书及移交卫生计生行政部门处理；所提供消杀记录等资料不属实每发现一次扣除10000元并开具整改通知书，若情节严重，确认乙方未达到要求的，甲方有权利终止合同，没收履约保证金，甲方不再向乙方支付剩余款项；以上条款在项目实施过程中累计违反3次，合计收到3张整改通知书则甲方有权提前终止合同并没收履约金。</w:t>
      </w:r>
    </w:p>
    <w:p>
      <w:pPr>
        <w:suppressLineNumbers/>
        <w:spacing w:line="360" w:lineRule="auto"/>
        <w:ind w:firstLine="480" w:firstLineChars="200"/>
        <w:rPr>
          <w:rFonts w:hAnsi="宋体"/>
          <w:sz w:val="24"/>
        </w:rPr>
      </w:pPr>
      <w:r>
        <w:rPr>
          <w:rFonts w:hint="eastAsia" w:hAnsi="宋体"/>
          <w:sz w:val="24"/>
        </w:rPr>
        <w:t>5、乙方在合同到期时未能达到第七条（乙方的权利和义务）第3、10款要求，即时提出警告，并限期1个月内改正，在限期内整改落实后，支付发票金额；若警告后未在限期内改正，或乙方中途自行退出，或确认其不能达到要求的，没收合同履约保证金，即时终止合同，余款不再支付，并向甲方支付违约金，违约金额为合同总价的50%。</w:t>
      </w:r>
    </w:p>
    <w:p>
      <w:pPr>
        <w:suppressLineNumbers/>
        <w:spacing w:line="360" w:lineRule="auto"/>
        <w:ind w:firstLine="480" w:firstLineChars="200"/>
        <w:rPr>
          <w:rFonts w:hAnsi="宋体"/>
          <w:sz w:val="24"/>
        </w:rPr>
      </w:pPr>
      <w:r>
        <w:rPr>
          <w:rFonts w:hint="eastAsia" w:hAnsi="宋体"/>
          <w:sz w:val="24"/>
        </w:rPr>
        <w:t>6、乙方未按本次采购中提供的工作方案、技术方案和消杀服务要求等规定进行的，经限期整改，仍达不到预期效果的则按具体情况扣款5-10万</w:t>
      </w:r>
      <w:r>
        <w:rPr>
          <w:rFonts w:hint="eastAsia" w:hAnsi="宋体"/>
          <w:sz w:val="24"/>
          <w:lang w:eastAsia="zh-CN"/>
        </w:rPr>
        <w:t>，</w:t>
      </w:r>
      <w:r>
        <w:rPr>
          <w:rFonts w:hint="eastAsia" w:hAnsi="宋体"/>
          <w:sz w:val="24"/>
        </w:rPr>
        <w:t>其中抽查发现未按要求频次对重点公共场所及餐饮业开展消杀的，每家每期扣除500元，农贸市场每家每期扣除3000元。情节严重的，可由甲方单方终止合同，没收合同履约保证金，乙方向甲方返还已支付的资金。</w:t>
      </w:r>
    </w:p>
    <w:p>
      <w:pPr>
        <w:suppressLineNumbers/>
        <w:spacing w:line="360" w:lineRule="auto"/>
        <w:ind w:firstLine="480" w:firstLineChars="200"/>
        <w:rPr>
          <w:rFonts w:hint="eastAsia" w:hAnsi="宋体"/>
          <w:b/>
          <w:bCs/>
          <w:sz w:val="24"/>
        </w:rPr>
      </w:pPr>
      <w:r>
        <w:rPr>
          <w:rFonts w:hint="eastAsia" w:hAnsi="宋体"/>
          <w:sz w:val="24"/>
        </w:rPr>
        <w:t>7</w:t>
      </w:r>
      <w:r>
        <w:rPr>
          <w:rFonts w:hint="eastAsia" w:hAnsi="宋体"/>
          <w:b/>
          <w:bCs/>
          <w:sz w:val="24"/>
        </w:rPr>
        <w:t>、合同规定的服务期间，若新河镇辖区内发生蚊媒传播疾病疫情，未执行</w:t>
      </w:r>
      <w:r>
        <w:rPr>
          <w:rFonts w:hint="eastAsia" w:hAnsi="宋体"/>
          <w:b/>
          <w:bCs/>
          <w:sz w:val="24"/>
          <w:lang w:eastAsia="zh-CN"/>
        </w:rPr>
        <w:t>甲方</w:t>
      </w:r>
      <w:r>
        <w:rPr>
          <w:rFonts w:hint="eastAsia" w:hAnsi="宋体"/>
          <w:b/>
          <w:bCs/>
          <w:sz w:val="24"/>
        </w:rPr>
        <w:t>的指令要求，开展疫点及周边的应急消杀工作情形的，不响应不执行每次扣10000元，响应不及时（不及时指从接到指令到到达应急消杀现场超过3小时）每次扣5000元，应急消杀时每个应急监测现场不少于2个人，必须经过培训且具有实际监测工作经验，人数不足或人员条件不符合每人每次扣1000元。</w:t>
      </w:r>
    </w:p>
    <w:p>
      <w:pPr>
        <w:pStyle w:val="2"/>
        <w:ind w:left="0" w:leftChars="0" w:firstLine="480" w:firstLineChars="200"/>
        <w:rPr>
          <w:rFonts w:hint="eastAsia" w:eastAsia="宋体"/>
          <w:highlight w:val="none"/>
          <w:lang w:val="en-US" w:eastAsia="zh-CN"/>
        </w:rPr>
      </w:pPr>
      <w:r>
        <w:rPr>
          <w:rFonts w:hint="eastAsia" w:ascii="宋体" w:hAnsi="宋体" w:cs="宋体"/>
          <w:sz w:val="24"/>
          <w:szCs w:val="24"/>
          <w:highlight w:val="none"/>
          <w:lang w:val="en-US" w:eastAsia="zh-CN"/>
        </w:rPr>
        <w:t>8、</w:t>
      </w:r>
      <w:r>
        <w:rPr>
          <w:rFonts w:hint="eastAsia" w:ascii="宋体" w:hAnsi="宋体" w:cs="宋体"/>
          <w:sz w:val="24"/>
          <w:szCs w:val="24"/>
          <w:highlight w:val="none"/>
        </w:rPr>
        <w:t>乙方</w:t>
      </w:r>
      <w:r>
        <w:rPr>
          <w:rFonts w:hint="eastAsia" w:ascii="宋体" w:hAnsi="宋体" w:cs="宋体"/>
          <w:sz w:val="24"/>
          <w:szCs w:val="24"/>
          <w:highlight w:val="none"/>
          <w:lang w:eastAsia="zh-CN"/>
        </w:rPr>
        <w:t>应根据《省爱卫会办公室等关于开展以灭蚊灭蝇为重点的除四害村建设助力健康浙江美丽浙江建设通知》（浙爱卫办【</w:t>
      </w:r>
      <w:r>
        <w:rPr>
          <w:rFonts w:hint="eastAsia" w:ascii="宋体" w:hAnsi="宋体" w:cs="宋体"/>
          <w:sz w:val="24"/>
          <w:szCs w:val="24"/>
          <w:highlight w:val="none"/>
          <w:lang w:val="en-US" w:eastAsia="zh-CN"/>
        </w:rPr>
        <w:t>2021</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6号</w:t>
      </w:r>
      <w:r>
        <w:rPr>
          <w:rFonts w:hint="eastAsia" w:ascii="宋体" w:hAnsi="宋体" w:cs="宋体"/>
          <w:sz w:val="24"/>
          <w:szCs w:val="24"/>
          <w:highlight w:val="none"/>
          <w:lang w:eastAsia="zh-CN"/>
        </w:rPr>
        <w:t>）做好辖区内</w:t>
      </w:r>
      <w:r>
        <w:rPr>
          <w:rFonts w:hint="eastAsia" w:ascii="宋体" w:hAnsi="宋体" w:cs="宋体"/>
          <w:sz w:val="24"/>
          <w:szCs w:val="24"/>
          <w:highlight w:val="none"/>
          <w:lang w:val="en-US" w:eastAsia="zh-CN"/>
        </w:rPr>
        <w:t>除四害村的相关消杀及监测服务</w:t>
      </w:r>
      <w:r>
        <w:rPr>
          <w:rFonts w:hint="eastAsia" w:ascii="宋体" w:hAnsi="宋体" w:cs="宋体"/>
          <w:sz w:val="24"/>
          <w:szCs w:val="24"/>
          <w:highlight w:val="none"/>
          <w:lang w:eastAsia="zh-CN"/>
        </w:rPr>
        <w:t>。</w:t>
      </w:r>
    </w:p>
    <w:p>
      <w:pPr>
        <w:suppressLineNumbers/>
        <w:spacing w:line="360" w:lineRule="auto"/>
        <w:rPr>
          <w:rFonts w:ascii="新宋体" w:hAnsi="新宋体" w:eastAsia="新宋体"/>
          <w:b/>
          <w:sz w:val="24"/>
        </w:rPr>
      </w:pPr>
      <w:r>
        <w:rPr>
          <w:rFonts w:hint="eastAsia" w:hAnsi="宋体"/>
          <w:b/>
          <w:bCs/>
          <w:sz w:val="24"/>
        </w:rPr>
        <w:t>九</w:t>
      </w:r>
      <w:r>
        <w:rPr>
          <w:rFonts w:hint="eastAsia" w:hAnsi="宋体"/>
          <w:sz w:val="24"/>
        </w:rPr>
        <w:t>、</w:t>
      </w:r>
      <w:r>
        <w:rPr>
          <w:rFonts w:hint="eastAsia" w:ascii="新宋体" w:hAnsi="新宋体" w:eastAsia="新宋体"/>
          <w:b/>
          <w:sz w:val="24"/>
        </w:rPr>
        <w:t>合同争议</w:t>
      </w:r>
    </w:p>
    <w:p>
      <w:pPr>
        <w:suppressLineNumbers/>
        <w:spacing w:line="360" w:lineRule="auto"/>
        <w:ind w:firstLine="480" w:firstLineChars="200"/>
        <w:rPr>
          <w:rFonts w:ascii="新宋体" w:hAnsi="新宋体" w:eastAsia="新宋体"/>
          <w:bCs/>
          <w:sz w:val="24"/>
        </w:rPr>
      </w:pPr>
      <w:r>
        <w:rPr>
          <w:rFonts w:hint="eastAsia" w:ascii="新宋体" w:hAnsi="新宋体" w:eastAsia="新宋体"/>
          <w:bCs/>
          <w:sz w:val="24"/>
        </w:rPr>
        <w:t>在本合同履行过程中发生争议，双方应当协商解决。双方不愿协商、调解解决或协商、调解不成的，双方商定，申请台州仲裁委员会仲裁。</w:t>
      </w:r>
    </w:p>
    <w:p>
      <w:pPr>
        <w:suppressLineNumbers/>
        <w:spacing w:line="360" w:lineRule="auto"/>
        <w:rPr>
          <w:rFonts w:ascii="新宋体" w:hAnsi="新宋体" w:eastAsia="新宋体"/>
          <w:b/>
          <w:sz w:val="24"/>
        </w:rPr>
      </w:pPr>
      <w:r>
        <w:rPr>
          <w:rFonts w:hint="eastAsia" w:ascii="新宋体" w:hAnsi="新宋体" w:eastAsia="新宋体"/>
          <w:b/>
          <w:sz w:val="24"/>
        </w:rPr>
        <w:t>十、转让和分包</w:t>
      </w:r>
    </w:p>
    <w:p>
      <w:pPr>
        <w:suppressLineNumbers/>
        <w:spacing w:line="360" w:lineRule="auto"/>
        <w:ind w:firstLine="480" w:firstLineChars="200"/>
        <w:rPr>
          <w:rFonts w:hAnsi="宋体"/>
          <w:sz w:val="24"/>
        </w:rPr>
      </w:pPr>
      <w:r>
        <w:rPr>
          <w:rFonts w:hint="eastAsia" w:hAnsi="宋体"/>
          <w:sz w:val="24"/>
        </w:rPr>
        <w:t>未经甲方事先书面同意，乙方不得部分转让或全部转让其应履行的合同义务。</w:t>
      </w:r>
    </w:p>
    <w:p>
      <w:pPr>
        <w:suppressLineNumbers/>
        <w:spacing w:line="360" w:lineRule="auto"/>
        <w:rPr>
          <w:rFonts w:hAnsi="宋体"/>
          <w:b/>
          <w:bCs/>
          <w:sz w:val="24"/>
        </w:rPr>
      </w:pPr>
      <w:r>
        <w:rPr>
          <w:rFonts w:hint="eastAsia" w:hAnsi="宋体"/>
          <w:b/>
          <w:bCs/>
          <w:sz w:val="24"/>
        </w:rPr>
        <w:t>十一、合同生效及其它</w:t>
      </w:r>
    </w:p>
    <w:p>
      <w:pPr>
        <w:suppressLineNumbers/>
        <w:spacing w:line="360" w:lineRule="auto"/>
        <w:ind w:firstLine="480" w:firstLineChars="200"/>
        <w:rPr>
          <w:rFonts w:hAnsi="宋体"/>
          <w:sz w:val="24"/>
        </w:rPr>
      </w:pPr>
      <w:r>
        <w:rPr>
          <w:rFonts w:hint="eastAsia" w:hAnsi="宋体"/>
          <w:sz w:val="24"/>
        </w:rPr>
        <w:t>1、合同经双方法定代表人或授权委托代理人签名并加盖单位公章后生效。</w:t>
      </w:r>
    </w:p>
    <w:p>
      <w:pPr>
        <w:overflowPunct w:val="0"/>
        <w:spacing w:line="360" w:lineRule="auto"/>
        <w:ind w:firstLine="480" w:firstLineChars="200"/>
        <w:rPr>
          <w:rFonts w:ascii="新宋体" w:hAnsi="新宋体" w:eastAsia="新宋体"/>
          <w:bCs/>
          <w:sz w:val="24"/>
        </w:rPr>
      </w:pPr>
      <w:r>
        <w:rPr>
          <w:rFonts w:hint="eastAsia" w:ascii="新宋体" w:hAnsi="新宋体" w:eastAsia="新宋体"/>
          <w:bCs/>
          <w:sz w:val="24"/>
        </w:rPr>
        <w:t>2、如需修改或补充合同内容，经协商，双方应签署书面修改或补充协议，该协议将作为本合同的一个组成部分。</w:t>
      </w:r>
    </w:p>
    <w:p>
      <w:pPr>
        <w:overflowPunct w:val="0"/>
        <w:spacing w:line="360" w:lineRule="auto"/>
        <w:ind w:firstLine="480" w:firstLineChars="200"/>
        <w:rPr>
          <w:rFonts w:ascii="新宋体" w:hAnsi="新宋体" w:eastAsia="新宋体"/>
          <w:bCs/>
          <w:sz w:val="24"/>
        </w:rPr>
      </w:pPr>
      <w:r>
        <w:rPr>
          <w:rFonts w:hint="eastAsia" w:ascii="新宋体" w:hAnsi="新宋体" w:eastAsia="新宋体"/>
          <w:bCs/>
          <w:sz w:val="24"/>
        </w:rPr>
        <w:t>3、本合同未尽事宜，遵照《民法典》有关条文执行。</w:t>
      </w:r>
    </w:p>
    <w:p>
      <w:pPr>
        <w:suppressLineNumbers/>
        <w:spacing w:line="360" w:lineRule="auto"/>
        <w:ind w:firstLine="480" w:firstLineChars="200"/>
        <w:rPr>
          <w:rFonts w:ascii="新宋体" w:hAnsi="新宋体" w:eastAsia="新宋体"/>
          <w:bCs/>
          <w:sz w:val="24"/>
        </w:rPr>
      </w:pPr>
      <w:r>
        <w:rPr>
          <w:rFonts w:hint="eastAsia" w:ascii="新宋体" w:hAnsi="新宋体" w:eastAsia="新宋体"/>
          <w:bCs/>
          <w:sz w:val="24"/>
        </w:rPr>
        <w:t>4、本合同一式柒份，正本一式贰份，具有同等法律效力，甲乙双方各执一份；副本伍份，甲乙双方各执壹份，其余送交有关部门备案。</w:t>
      </w:r>
    </w:p>
    <w:p>
      <w:pPr>
        <w:suppressLineNumbers/>
        <w:spacing w:line="360" w:lineRule="auto"/>
        <w:rPr>
          <w:rFonts w:hAnsi="宋体"/>
          <w:sz w:val="24"/>
        </w:rPr>
      </w:pPr>
      <w:r>
        <w:rPr>
          <w:rFonts w:hint="eastAsia" w:hAnsi="宋体"/>
          <w:sz w:val="24"/>
        </w:rPr>
        <w:t>十</w:t>
      </w:r>
      <w:r>
        <w:rPr>
          <w:rFonts w:hint="eastAsia" w:hAnsi="宋体"/>
          <w:sz w:val="24"/>
          <w:lang w:eastAsia="zh-CN"/>
        </w:rPr>
        <w:t>二</w:t>
      </w:r>
      <w:r>
        <w:rPr>
          <w:rFonts w:hint="eastAsia" w:hAnsi="宋体"/>
          <w:sz w:val="24"/>
        </w:rPr>
        <w:t>、本合同的见证单位为建经投资咨询有限公司。</w:t>
      </w:r>
    </w:p>
    <w:p>
      <w:pPr>
        <w:suppressLineNumbers/>
        <w:spacing w:line="360" w:lineRule="auto"/>
        <w:ind w:firstLine="480" w:firstLineChars="200"/>
        <w:rPr>
          <w:rFonts w:hAnsi="宋体"/>
          <w:sz w:val="24"/>
        </w:rPr>
      </w:pPr>
      <w:r>
        <w:rPr>
          <w:rFonts w:hint="eastAsia" w:hAnsi="宋体"/>
          <w:sz w:val="24"/>
        </w:rPr>
        <w:t xml:space="preserve">甲方：（公章）                     乙方：（公章）                           </w:t>
      </w:r>
    </w:p>
    <w:p>
      <w:pPr>
        <w:suppressLineNumbers/>
        <w:spacing w:line="360" w:lineRule="auto"/>
        <w:ind w:firstLine="480" w:firstLineChars="200"/>
        <w:rPr>
          <w:rFonts w:hAnsi="宋体"/>
          <w:sz w:val="24"/>
        </w:rPr>
      </w:pPr>
      <w:r>
        <w:rPr>
          <w:rFonts w:hint="eastAsia" w:hAnsi="宋体"/>
          <w:sz w:val="24"/>
        </w:rPr>
        <w:t>法定代表人：                       法定代表人：</w:t>
      </w:r>
    </w:p>
    <w:p>
      <w:pPr>
        <w:suppressLineNumbers/>
        <w:spacing w:line="360" w:lineRule="auto"/>
        <w:ind w:firstLine="480" w:firstLineChars="200"/>
        <w:rPr>
          <w:rFonts w:hAnsi="宋体"/>
          <w:sz w:val="24"/>
        </w:rPr>
      </w:pPr>
      <w:r>
        <w:rPr>
          <w:rFonts w:hint="eastAsia" w:hAnsi="宋体"/>
          <w:sz w:val="24"/>
        </w:rPr>
        <w:t>授权代表：                         授权代表：</w:t>
      </w:r>
    </w:p>
    <w:p>
      <w:pPr>
        <w:suppressLineNumbers/>
        <w:spacing w:line="360" w:lineRule="auto"/>
        <w:ind w:firstLine="480" w:firstLineChars="200"/>
        <w:rPr>
          <w:rFonts w:hAnsi="宋体"/>
          <w:sz w:val="24"/>
        </w:rPr>
      </w:pPr>
      <w:r>
        <w:rPr>
          <w:rFonts w:hint="eastAsia" w:hAnsi="宋体"/>
          <w:sz w:val="24"/>
        </w:rPr>
        <w:t>开户银行：                         开户银行：</w:t>
      </w:r>
    </w:p>
    <w:p>
      <w:pPr>
        <w:suppressLineNumbers/>
        <w:spacing w:line="360" w:lineRule="auto"/>
        <w:ind w:firstLine="480" w:firstLineChars="200"/>
        <w:rPr>
          <w:rFonts w:hAnsi="宋体"/>
          <w:sz w:val="24"/>
        </w:rPr>
      </w:pPr>
      <w:r>
        <w:rPr>
          <w:rFonts w:hint="eastAsia" w:hAnsi="宋体"/>
          <w:sz w:val="24"/>
          <w:lang w:eastAsia="zh-CN"/>
        </w:rPr>
        <w:t>银行账号</w:t>
      </w:r>
      <w:r>
        <w:rPr>
          <w:rFonts w:hint="eastAsia" w:hAnsi="宋体"/>
          <w:sz w:val="24"/>
        </w:rPr>
        <w:t xml:space="preserve">：                         </w:t>
      </w:r>
      <w:r>
        <w:rPr>
          <w:rFonts w:hint="eastAsia" w:hAnsi="宋体"/>
          <w:sz w:val="24"/>
          <w:lang w:eastAsia="zh-CN"/>
        </w:rPr>
        <w:t>银行账号</w:t>
      </w:r>
      <w:r>
        <w:rPr>
          <w:rFonts w:hint="eastAsia" w:hAnsi="宋体"/>
          <w:sz w:val="24"/>
        </w:rPr>
        <w:t>：</w:t>
      </w:r>
    </w:p>
    <w:p>
      <w:pPr>
        <w:suppressLineNumbers/>
        <w:spacing w:line="360" w:lineRule="auto"/>
        <w:ind w:firstLine="480" w:firstLineChars="200"/>
        <w:rPr>
          <w:rFonts w:hAnsi="宋体"/>
          <w:sz w:val="24"/>
        </w:rPr>
      </w:pPr>
      <w:r>
        <w:rPr>
          <w:rFonts w:hint="eastAsia" w:hAnsi="宋体"/>
          <w:sz w:val="24"/>
        </w:rPr>
        <w:t>合同签订时间：</w:t>
      </w:r>
    </w:p>
    <w:p>
      <w:pPr>
        <w:pStyle w:val="62"/>
        <w:numPr>
          <w:ilvl w:val="0"/>
          <w:numId w:val="0"/>
        </w:numPr>
        <w:spacing w:line="520" w:lineRule="exact"/>
        <w:rPr>
          <w:rFonts w:hint="default" w:hAnsi="宋体" w:cs="仿宋_GB2312"/>
          <w:sz w:val="32"/>
          <w:szCs w:val="32"/>
        </w:rPr>
        <w:sectPr>
          <w:footerReference r:id="rId6" w:type="first"/>
          <w:footerReference r:id="rId5" w:type="default"/>
          <w:pgSz w:w="11907" w:h="16840"/>
          <w:pgMar w:top="1440" w:right="1531" w:bottom="1440" w:left="1928" w:header="851" w:footer="1304" w:gutter="0"/>
          <w:pgNumType w:fmt="numberInDash" w:start="1"/>
          <w:cols w:space="720" w:num="1"/>
          <w:titlePg/>
          <w:docGrid w:type="linesAndChars" w:linePitch="312" w:charSpace="0"/>
        </w:sect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outlineLvl w:val="0"/>
        <w:rPr>
          <w:rFonts w:ascii="宋体" w:cs="宋体"/>
          <w:b/>
          <w:bCs/>
          <w:sz w:val="36"/>
          <w:szCs w:val="36"/>
        </w:rPr>
      </w:pPr>
      <w:bookmarkStart w:id="19" w:name="_Toc19126"/>
      <w:r>
        <w:rPr>
          <w:rFonts w:hint="eastAsia" w:ascii="宋体" w:hAnsi="宋体" w:cs="宋体"/>
          <w:b/>
          <w:bCs/>
          <w:sz w:val="36"/>
          <w:szCs w:val="36"/>
        </w:rPr>
        <w:t>第六章</w:t>
      </w:r>
      <w:r>
        <w:rPr>
          <w:rFonts w:ascii="宋体" w:hAnsi="宋体" w:cs="宋体"/>
          <w:b/>
          <w:bCs/>
          <w:sz w:val="36"/>
          <w:szCs w:val="36"/>
        </w:rPr>
        <w:t xml:space="preserve"> </w:t>
      </w:r>
      <w:r>
        <w:rPr>
          <w:rFonts w:hint="eastAsia" w:ascii="宋体" w:hAnsi="宋体" w:cs="宋体"/>
          <w:b/>
          <w:bCs/>
          <w:sz w:val="36"/>
          <w:szCs w:val="36"/>
        </w:rPr>
        <w:t>投标文件格式附件</w:t>
      </w:r>
      <w:bookmarkEnd w:id="19"/>
    </w:p>
    <w:p>
      <w:pPr>
        <w:rPr>
          <w:rFonts w:ascii="宋体"/>
          <w:b/>
          <w:bCs/>
          <w:kern w:val="0"/>
          <w:sz w:val="28"/>
          <w:szCs w:val="28"/>
        </w:rPr>
      </w:pPr>
      <w:r>
        <w:rPr>
          <w:rFonts w:hint="eastAsia" w:ascii="宋体" w:hAnsi="宋体" w:cs="宋体"/>
          <w:b/>
          <w:bCs/>
          <w:kern w:val="0"/>
          <w:sz w:val="28"/>
          <w:szCs w:val="28"/>
        </w:rPr>
        <w:br w:type="page"/>
      </w:r>
    </w:p>
    <w:p>
      <w:pPr>
        <w:spacing w:line="360" w:lineRule="auto"/>
        <w:rPr>
          <w:rFonts w:ascii="宋体" w:cs="宋体"/>
          <w:b/>
          <w:bCs/>
          <w:sz w:val="30"/>
          <w:szCs w:val="30"/>
        </w:rPr>
      </w:pPr>
    </w:p>
    <w:p>
      <w:pPr>
        <w:spacing w:line="360" w:lineRule="auto"/>
        <w:ind w:right="-110"/>
        <w:jc w:val="center"/>
        <w:outlineLvl w:val="0"/>
        <w:rPr>
          <w:rFonts w:hint="eastAsia" w:ascii="宋体" w:hAnsi="宋体" w:cs="宋体"/>
          <w:spacing w:val="40"/>
          <w:sz w:val="40"/>
          <w:szCs w:val="40"/>
          <w:lang w:eastAsia="zh-CN"/>
        </w:rPr>
      </w:pPr>
      <w:r>
        <w:rPr>
          <w:rFonts w:hint="eastAsia" w:ascii="宋体" w:hAnsi="宋体" w:cs="宋体"/>
          <w:spacing w:val="40"/>
          <w:sz w:val="40"/>
          <w:szCs w:val="40"/>
          <w:lang w:eastAsia="zh-CN"/>
        </w:rPr>
        <w:t>温岭市新河镇2024年度病媒生物防制</w:t>
      </w:r>
    </w:p>
    <w:p>
      <w:pPr>
        <w:pStyle w:val="2"/>
        <w:jc w:val="center"/>
      </w:pPr>
      <w:r>
        <w:rPr>
          <w:rFonts w:hint="eastAsia" w:ascii="宋体" w:hAnsi="宋体" w:cs="宋体"/>
          <w:spacing w:val="40"/>
          <w:sz w:val="40"/>
          <w:szCs w:val="40"/>
          <w:lang w:eastAsia="zh-CN"/>
        </w:rPr>
        <w:t>专业化服务项目采购</w:t>
      </w:r>
    </w:p>
    <w:p>
      <w:pPr>
        <w:spacing w:beforeLines="100" w:line="360" w:lineRule="auto"/>
        <w:ind w:right="-108"/>
        <w:jc w:val="center"/>
        <w:rPr>
          <w:rFonts w:hint="eastAsia" w:ascii="宋体" w:eastAsia="宋体"/>
          <w:sz w:val="36"/>
          <w:szCs w:val="36"/>
          <w:lang w:eastAsia="zh-CN"/>
        </w:rPr>
      </w:pPr>
      <w:r>
        <w:rPr>
          <w:rFonts w:hint="eastAsia" w:ascii="宋体" w:hAnsi="宋体" w:cs="宋体"/>
          <w:sz w:val="36"/>
          <w:szCs w:val="36"/>
        </w:rPr>
        <w:t>项目编号：</w:t>
      </w:r>
      <w:r>
        <w:rPr>
          <w:rFonts w:hint="eastAsia" w:ascii="宋体" w:hAnsi="宋体" w:cs="宋体"/>
          <w:sz w:val="36"/>
          <w:szCs w:val="36"/>
          <w:lang w:eastAsia="zh-CN"/>
        </w:rPr>
        <w:t>JJWL24031981</w:t>
      </w:r>
    </w:p>
    <w:p>
      <w:pPr>
        <w:autoSpaceDE w:val="0"/>
        <w:autoSpaceDN w:val="0"/>
        <w:adjustRightInd w:val="0"/>
        <w:spacing w:line="360" w:lineRule="auto"/>
        <w:jc w:val="center"/>
        <w:rPr>
          <w:rFonts w:ascii="宋体"/>
          <w:sz w:val="84"/>
          <w:szCs w:val="84"/>
          <w:lang w:val="zh-CN"/>
        </w:rPr>
      </w:pPr>
    </w:p>
    <w:p>
      <w:pPr>
        <w:autoSpaceDE w:val="0"/>
        <w:autoSpaceDN w:val="0"/>
        <w:adjustRightInd w:val="0"/>
        <w:spacing w:line="360" w:lineRule="auto"/>
        <w:jc w:val="center"/>
        <w:rPr>
          <w:rFonts w:ascii="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b/>
          <w:bCs/>
          <w:spacing w:val="40"/>
          <w:sz w:val="28"/>
          <w:szCs w:val="28"/>
        </w:rPr>
      </w:pPr>
      <w:r>
        <w:rPr>
          <w:rFonts w:hint="eastAsia" w:ascii="宋体" w:hAnsi="宋体" w:cs="宋体"/>
          <w:b/>
          <w:bCs/>
          <w:spacing w:val="40"/>
          <w:sz w:val="28"/>
          <w:szCs w:val="28"/>
          <w:lang w:val="zh-CN"/>
        </w:rPr>
        <w:t>（</w:t>
      </w:r>
      <w:r>
        <w:rPr>
          <w:rFonts w:hint="eastAsia" w:ascii="宋体" w:hAnsi="宋体" w:cs="宋体"/>
          <w:b/>
          <w:bCs/>
          <w:spacing w:val="40"/>
          <w:sz w:val="28"/>
          <w:szCs w:val="28"/>
        </w:rPr>
        <w:t>资格证明文件）</w:t>
      </w:r>
    </w:p>
    <w:p>
      <w:pPr>
        <w:spacing w:line="360" w:lineRule="auto"/>
        <w:ind w:right="532" w:firstLine="720" w:firstLineChars="200"/>
        <w:rPr>
          <w:rFonts w:ascii="宋体"/>
          <w:sz w:val="36"/>
          <w:szCs w:val="36"/>
        </w:rPr>
      </w:pPr>
      <w:r>
        <w:rPr>
          <w:rFonts w:hint="eastAsia" w:ascii="宋体" w:hAnsi="宋体" w:cs="宋体"/>
          <w:sz w:val="36"/>
          <w:szCs w:val="36"/>
        </w:rPr>
        <w:t>投标人全称（公章）：</w:t>
      </w:r>
    </w:p>
    <w:p>
      <w:pPr>
        <w:spacing w:line="360" w:lineRule="auto"/>
        <w:ind w:right="532" w:firstLine="720" w:firstLineChars="200"/>
        <w:rPr>
          <w:rFonts w:ascii="宋体"/>
          <w:sz w:val="36"/>
          <w:szCs w:val="36"/>
        </w:rPr>
      </w:pPr>
      <w:r>
        <w:rPr>
          <w:rFonts w:hint="eastAsia" w:ascii="宋体" w:hAnsi="宋体" w:cs="宋体"/>
          <w:sz w:val="36"/>
          <w:szCs w:val="36"/>
        </w:rPr>
        <w:t>地</w:t>
      </w:r>
      <w:r>
        <w:rPr>
          <w:rFonts w:ascii="宋体" w:hAnsi="宋体" w:cs="宋体"/>
          <w:sz w:val="36"/>
          <w:szCs w:val="36"/>
        </w:rPr>
        <w:t xml:space="preserve">    </w:t>
      </w:r>
      <w:r>
        <w:rPr>
          <w:rFonts w:hint="eastAsia" w:ascii="宋体" w:hAnsi="宋体" w:cs="宋体"/>
          <w:sz w:val="36"/>
          <w:szCs w:val="36"/>
        </w:rPr>
        <w:t>址：</w:t>
      </w:r>
    </w:p>
    <w:p>
      <w:pPr>
        <w:spacing w:line="360" w:lineRule="auto"/>
        <w:ind w:right="532" w:firstLine="720" w:firstLineChars="200"/>
        <w:rPr>
          <w:rFonts w:ascii="宋体"/>
          <w:sz w:val="36"/>
          <w:szCs w:val="36"/>
        </w:rPr>
      </w:pPr>
      <w:r>
        <w:rPr>
          <w:rFonts w:hint="eastAsia" w:ascii="宋体" w:hAnsi="宋体" w:cs="宋体"/>
          <w:sz w:val="36"/>
          <w:szCs w:val="36"/>
        </w:rPr>
        <w:t>时</w:t>
      </w:r>
      <w:r>
        <w:rPr>
          <w:rFonts w:ascii="宋体" w:hAnsi="宋体" w:cs="宋体"/>
          <w:sz w:val="36"/>
          <w:szCs w:val="36"/>
        </w:rPr>
        <w:t xml:space="preserve">    </w:t>
      </w:r>
      <w:r>
        <w:rPr>
          <w:rFonts w:hint="eastAsia" w:ascii="宋体" w:hAnsi="宋体" w:cs="宋体"/>
          <w:sz w:val="36"/>
          <w:szCs w:val="36"/>
        </w:rPr>
        <w:t>间：</w:t>
      </w:r>
    </w:p>
    <w:p>
      <w:pPr>
        <w:snapToGrid w:val="0"/>
        <w:spacing w:before="50" w:after="50" w:line="360" w:lineRule="auto"/>
        <w:rPr>
          <w:rFonts w:ascii="仿宋_GB2312" w:hAnsi="宋体" w:eastAsia="仿宋_GB2312"/>
          <w:b/>
          <w:bCs/>
          <w:sz w:val="36"/>
          <w:szCs w:val="36"/>
        </w:rPr>
      </w:pPr>
    </w:p>
    <w:p>
      <w:pPr>
        <w:snapToGrid w:val="0"/>
        <w:spacing w:before="50" w:after="50" w:line="360" w:lineRule="auto"/>
        <w:rPr>
          <w:rFonts w:ascii="仿宋_GB2312" w:hAnsi="宋体" w:eastAsia="仿宋_GB2312"/>
          <w:b/>
          <w:bCs/>
          <w:sz w:val="36"/>
          <w:szCs w:val="36"/>
        </w:rPr>
      </w:pPr>
    </w:p>
    <w:p>
      <w:pPr>
        <w:rPr>
          <w:rFonts w:ascii="宋体" w:hAnsi="宋体" w:cs="宋体"/>
          <w:b/>
          <w:bCs/>
          <w:sz w:val="36"/>
          <w:szCs w:val="36"/>
        </w:rPr>
      </w:pPr>
      <w:r>
        <w:rPr>
          <w:rFonts w:hint="eastAsia" w:ascii="宋体" w:hAnsi="宋体" w:cs="宋体"/>
          <w:b/>
          <w:bCs/>
          <w:sz w:val="36"/>
          <w:szCs w:val="36"/>
        </w:rPr>
        <w:br w:type="page"/>
      </w:r>
    </w:p>
    <w:p>
      <w:pPr>
        <w:snapToGrid w:val="0"/>
        <w:spacing w:before="50" w:after="50" w:line="360" w:lineRule="auto"/>
        <w:jc w:val="center"/>
        <w:rPr>
          <w:rFonts w:ascii="宋体" w:hAnsi="宋体" w:cs="宋体"/>
          <w:b/>
          <w:bCs/>
          <w:sz w:val="36"/>
          <w:szCs w:val="36"/>
        </w:rPr>
      </w:pPr>
      <w:r>
        <w:rPr>
          <w:rFonts w:hint="eastAsia" w:ascii="宋体" w:hAnsi="宋体" w:cs="宋体"/>
          <w:b/>
          <w:bCs/>
          <w:sz w:val="36"/>
          <w:szCs w:val="36"/>
        </w:rPr>
        <w:t>资格证明文件包含以下内容</w:t>
      </w:r>
    </w:p>
    <w:p>
      <w:pPr>
        <w:pStyle w:val="18"/>
      </w:pPr>
    </w:p>
    <w:p>
      <w:pPr>
        <w:numPr>
          <w:ilvl w:val="0"/>
          <w:numId w:val="8"/>
        </w:numPr>
        <w:snapToGrid w:val="0"/>
        <w:spacing w:line="360" w:lineRule="auto"/>
        <w:jc w:val="left"/>
        <w:rPr>
          <w:rFonts w:ascii="宋体" w:cs="宋体"/>
          <w:sz w:val="28"/>
          <w:szCs w:val="28"/>
        </w:rPr>
      </w:pPr>
      <w:r>
        <w:rPr>
          <w:rFonts w:hint="eastAsia" w:ascii="宋体" w:hAnsi="宋体" w:cs="宋体"/>
          <w:sz w:val="28"/>
          <w:szCs w:val="28"/>
        </w:rPr>
        <w:t>投标声明书及其他证明材料；</w:t>
      </w:r>
    </w:p>
    <w:p>
      <w:pPr>
        <w:numPr>
          <w:ilvl w:val="0"/>
          <w:numId w:val="8"/>
        </w:numPr>
        <w:snapToGrid w:val="0"/>
        <w:spacing w:line="360" w:lineRule="auto"/>
        <w:jc w:val="left"/>
        <w:rPr>
          <w:rFonts w:ascii="宋体"/>
          <w:kern w:val="0"/>
          <w:sz w:val="28"/>
          <w:szCs w:val="28"/>
        </w:rPr>
      </w:pPr>
      <w:r>
        <w:rPr>
          <w:rFonts w:hint="eastAsia" w:cs="宋体"/>
          <w:sz w:val="28"/>
          <w:szCs w:val="28"/>
        </w:rPr>
        <w:t>授权委托书、法定代表人身份证明书；</w:t>
      </w:r>
    </w:p>
    <w:p>
      <w:pPr>
        <w:numPr>
          <w:ilvl w:val="0"/>
          <w:numId w:val="8"/>
        </w:numPr>
        <w:snapToGrid w:val="0"/>
        <w:spacing w:line="360" w:lineRule="auto"/>
        <w:jc w:val="left"/>
        <w:rPr>
          <w:rFonts w:ascii="宋体"/>
          <w:kern w:val="0"/>
          <w:sz w:val="28"/>
          <w:szCs w:val="28"/>
        </w:rPr>
      </w:pPr>
      <w:r>
        <w:rPr>
          <w:rFonts w:hint="eastAsia" w:cs="宋体"/>
          <w:sz w:val="28"/>
          <w:szCs w:val="28"/>
        </w:rPr>
        <w:t>法人或者其他组织的营业执照等证明文件，自然人的身份证明；</w:t>
      </w:r>
    </w:p>
    <w:p>
      <w:pPr>
        <w:numPr>
          <w:ilvl w:val="0"/>
          <w:numId w:val="8"/>
        </w:numPr>
        <w:snapToGrid w:val="0"/>
        <w:spacing w:line="360" w:lineRule="auto"/>
        <w:jc w:val="left"/>
        <w:rPr>
          <w:rFonts w:ascii="宋体"/>
          <w:sz w:val="28"/>
          <w:szCs w:val="28"/>
        </w:rPr>
      </w:pPr>
      <w:r>
        <w:rPr>
          <w:rFonts w:hint="eastAsia" w:cs="宋体"/>
          <w:sz w:val="28"/>
          <w:szCs w:val="28"/>
        </w:rPr>
        <w:t>财务状况报告，依法缴纳税收和社会保障资金的相关材料</w:t>
      </w:r>
      <w:r>
        <w:rPr>
          <w:rFonts w:hint="eastAsia" w:ascii="宋体" w:hAnsi="宋体" w:cs="宋体"/>
          <w:sz w:val="28"/>
          <w:szCs w:val="28"/>
        </w:rPr>
        <w:t>；</w:t>
      </w:r>
    </w:p>
    <w:p>
      <w:pPr>
        <w:numPr>
          <w:ilvl w:val="0"/>
          <w:numId w:val="8"/>
        </w:numPr>
        <w:snapToGrid w:val="0"/>
        <w:spacing w:line="360" w:lineRule="auto"/>
        <w:jc w:val="left"/>
        <w:rPr>
          <w:rFonts w:ascii="宋体"/>
          <w:kern w:val="0"/>
          <w:sz w:val="28"/>
          <w:szCs w:val="28"/>
        </w:rPr>
      </w:pPr>
      <w:r>
        <w:rPr>
          <w:rFonts w:hint="eastAsia" w:cs="宋体"/>
          <w:sz w:val="28"/>
          <w:szCs w:val="28"/>
        </w:rPr>
        <w:t>具备履行合同所必需的设备和专业技术能力的证明材料</w:t>
      </w:r>
      <w:r>
        <w:rPr>
          <w:rFonts w:hint="eastAsia" w:ascii="宋体" w:hAnsi="宋体" w:cs="宋体"/>
          <w:sz w:val="28"/>
          <w:szCs w:val="28"/>
        </w:rPr>
        <w:t>；</w:t>
      </w:r>
    </w:p>
    <w:p>
      <w:pPr>
        <w:numPr>
          <w:ilvl w:val="0"/>
          <w:numId w:val="8"/>
        </w:numPr>
        <w:snapToGrid w:val="0"/>
        <w:spacing w:line="360" w:lineRule="auto"/>
        <w:jc w:val="left"/>
        <w:rPr>
          <w:rFonts w:ascii="宋体" w:hAnsi="宋体" w:cs="宋体"/>
          <w:b/>
          <w:bCs/>
          <w:color w:val="FF0000"/>
          <w:kern w:val="0"/>
          <w:sz w:val="28"/>
          <w:szCs w:val="28"/>
        </w:rPr>
      </w:pPr>
      <w:r>
        <w:rPr>
          <w:rFonts w:hint="eastAsia" w:ascii="宋体" w:hAnsi="宋体" w:cs="宋体"/>
          <w:b/>
          <w:bCs/>
          <w:color w:val="FF0000"/>
          <w:kern w:val="0"/>
          <w:sz w:val="28"/>
          <w:szCs w:val="28"/>
        </w:rPr>
        <w:t>投标人的《中小企业声明函（服务）》等相关证明材料；</w:t>
      </w:r>
    </w:p>
    <w:p>
      <w:pPr>
        <w:numPr>
          <w:ilvl w:val="0"/>
          <w:numId w:val="8"/>
        </w:numPr>
        <w:snapToGrid w:val="0"/>
        <w:spacing w:line="360" w:lineRule="auto"/>
        <w:jc w:val="left"/>
        <w:rPr>
          <w:rFonts w:ascii="宋体"/>
          <w:kern w:val="0"/>
          <w:sz w:val="28"/>
          <w:szCs w:val="28"/>
        </w:rPr>
      </w:pPr>
      <w:r>
        <w:rPr>
          <w:rFonts w:hint="eastAsia" w:ascii="宋体" w:hAnsi="宋体" w:cs="宋体"/>
          <w:kern w:val="0"/>
          <w:sz w:val="28"/>
          <w:szCs w:val="28"/>
        </w:rPr>
        <w:t>投标人认为需要提供的</w:t>
      </w:r>
      <w:r>
        <w:rPr>
          <w:rFonts w:hint="eastAsia" w:ascii="宋体" w:hAnsi="宋体" w:cs="宋体"/>
          <w:kern w:val="0"/>
          <w:sz w:val="28"/>
          <w:szCs w:val="28"/>
          <w:lang w:eastAsia="zh-CN"/>
        </w:rPr>
        <w:t>其他</w:t>
      </w:r>
      <w:r>
        <w:rPr>
          <w:rFonts w:hint="eastAsia" w:ascii="宋体" w:hAnsi="宋体" w:cs="宋体"/>
          <w:kern w:val="0"/>
          <w:sz w:val="28"/>
          <w:szCs w:val="28"/>
        </w:rPr>
        <w:t>文件和资料</w:t>
      </w:r>
      <w:r>
        <w:rPr>
          <w:rFonts w:hint="eastAsia" w:ascii="宋体" w:hAnsi="宋体" w:cs="宋体"/>
          <w:sz w:val="28"/>
          <w:szCs w:val="28"/>
        </w:rPr>
        <w:t>。</w:t>
      </w:r>
    </w:p>
    <w:p>
      <w:pPr>
        <w:spacing w:line="360" w:lineRule="auto"/>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jc w:val="left"/>
        <w:rPr>
          <w:rFonts w:ascii="宋体" w:hAnsi="宋体" w:cs="宋体"/>
          <w:b/>
          <w:bCs/>
          <w:color w:val="0000FF"/>
          <w:sz w:val="24"/>
          <w:szCs w:val="24"/>
        </w:rPr>
      </w:pPr>
      <w:r>
        <w:rPr>
          <w:rFonts w:hint="eastAsia" w:ascii="宋体" w:hAnsi="宋体" w:cs="宋体"/>
          <w:b/>
          <w:bCs/>
          <w:color w:val="0000FF"/>
          <w:sz w:val="24"/>
          <w:szCs w:val="24"/>
        </w:rPr>
        <w:t>注：1、监狱企业、残疾人福利性单位视同中小型企业，若为残疾人福利性单位请提供残疾人福利性单位声明函；若为监狱企业，请提供省级以上监狱管理局、戒毒管理局（含新疆生产建设兵团）开具的属于监狱企业的证明文件。</w:t>
      </w:r>
    </w:p>
    <w:p>
      <w:pPr>
        <w:spacing w:line="360" w:lineRule="auto"/>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widowControl/>
        <w:jc w:val="left"/>
        <w:rPr>
          <w:rFonts w:hint="eastAsia" w:ascii="宋体" w:hAnsi="宋体" w:cs="宋体"/>
          <w:b/>
          <w:bCs/>
          <w:sz w:val="24"/>
          <w:szCs w:val="24"/>
        </w:rPr>
      </w:pPr>
    </w:p>
    <w:p>
      <w:pPr>
        <w:widowControl/>
        <w:jc w:val="left"/>
        <w:rPr>
          <w:rFonts w:ascii="宋体"/>
          <w:b/>
          <w:bCs/>
          <w:sz w:val="28"/>
          <w:szCs w:val="28"/>
        </w:rPr>
      </w:pPr>
      <w:r>
        <w:rPr>
          <w:rFonts w:hint="eastAsia" w:ascii="宋体" w:hAnsi="宋体" w:cs="宋体"/>
          <w:b/>
          <w:bCs/>
          <w:sz w:val="24"/>
          <w:szCs w:val="24"/>
        </w:rPr>
        <w:t>附件1：</w:t>
      </w:r>
    </w:p>
    <w:p>
      <w:pPr>
        <w:adjustRightInd w:val="0"/>
        <w:snapToGrid w:val="0"/>
        <w:spacing w:line="440" w:lineRule="exact"/>
        <w:ind w:firstLine="643" w:firstLineChars="200"/>
        <w:jc w:val="center"/>
        <w:rPr>
          <w:rFonts w:ascii="宋体"/>
          <w:b/>
          <w:bCs/>
          <w:kern w:val="0"/>
          <w:sz w:val="32"/>
          <w:szCs w:val="32"/>
          <w:lang w:val="zh-CN"/>
        </w:rPr>
      </w:pPr>
      <w:r>
        <w:rPr>
          <w:rFonts w:hint="eastAsia" w:ascii="宋体" w:hAnsi="宋体" w:cs="宋体"/>
          <w:b/>
          <w:bCs/>
          <w:kern w:val="0"/>
          <w:sz w:val="32"/>
          <w:szCs w:val="32"/>
          <w:lang w:val="zh-CN"/>
        </w:rPr>
        <w:t>投标声明书</w:t>
      </w:r>
    </w:p>
    <w:p>
      <w:pPr>
        <w:keepNext w:val="0"/>
        <w:keepLines w:val="0"/>
        <w:pageBreakBefore w:val="0"/>
        <w:widowControl w:val="0"/>
        <w:kinsoku/>
        <w:wordWrap/>
        <w:overflowPunct/>
        <w:topLinePunct w:val="0"/>
        <w:autoSpaceDE/>
        <w:autoSpaceDN/>
        <w:bidi w:val="0"/>
        <w:snapToGrid w:val="0"/>
        <w:spacing w:line="380" w:lineRule="exact"/>
        <w:textAlignment w:val="auto"/>
        <w:rPr>
          <w:rFonts w:ascii="宋体"/>
          <w:kern w:val="0"/>
          <w:sz w:val="22"/>
          <w:szCs w:val="22"/>
        </w:rPr>
      </w:pPr>
      <w:r>
        <w:rPr>
          <w:rFonts w:hint="eastAsia" w:ascii="宋体" w:hAnsi="宋体" w:cs="宋体"/>
          <w:sz w:val="22"/>
          <w:szCs w:val="22"/>
          <w:u w:val="single"/>
          <w:lang w:eastAsia="zh-CN"/>
        </w:rPr>
        <w:t>温岭市新河镇人民政府</w:t>
      </w:r>
      <w:r>
        <w:rPr>
          <w:rFonts w:hint="eastAsia" w:ascii="宋体" w:hAnsi="宋体" w:cs="宋体"/>
          <w:kern w:val="0"/>
          <w:sz w:val="22"/>
          <w:szCs w:val="22"/>
        </w:rPr>
        <w:t>：</w:t>
      </w:r>
    </w:p>
    <w:p>
      <w:pPr>
        <w:keepNext w:val="0"/>
        <w:keepLines w:val="0"/>
        <w:pageBreakBefore w:val="0"/>
        <w:widowControl w:val="0"/>
        <w:kinsoku/>
        <w:wordWrap/>
        <w:overflowPunct/>
        <w:topLinePunct w:val="0"/>
        <w:autoSpaceDE/>
        <w:autoSpaceDN/>
        <w:bidi w:val="0"/>
        <w:snapToGrid w:val="0"/>
        <w:spacing w:line="380" w:lineRule="exact"/>
        <w:ind w:firstLine="440" w:firstLineChars="200"/>
        <w:textAlignment w:val="auto"/>
        <w:rPr>
          <w:rFonts w:ascii="宋体"/>
          <w:kern w:val="0"/>
          <w:sz w:val="22"/>
          <w:szCs w:val="22"/>
        </w:rPr>
      </w:pPr>
      <w:r>
        <w:rPr>
          <w:rFonts w:hint="eastAsia" w:ascii="宋体" w:hAnsi="宋体" w:cs="宋体"/>
          <w:kern w:val="0"/>
          <w:sz w:val="22"/>
          <w:szCs w:val="22"/>
        </w:rPr>
        <w:t>（投标人名称）系中华人民共和国合法企业，（经营地址）。</w:t>
      </w:r>
    </w:p>
    <w:p>
      <w:pPr>
        <w:keepNext w:val="0"/>
        <w:keepLines w:val="0"/>
        <w:pageBreakBefore w:val="0"/>
        <w:widowControl w:val="0"/>
        <w:kinsoku/>
        <w:wordWrap/>
        <w:overflowPunct/>
        <w:topLinePunct w:val="0"/>
        <w:autoSpaceDE/>
        <w:autoSpaceDN/>
        <w:bidi w:val="0"/>
        <w:snapToGrid w:val="0"/>
        <w:spacing w:line="380" w:lineRule="exact"/>
        <w:ind w:firstLine="440" w:firstLineChars="200"/>
        <w:textAlignment w:val="auto"/>
        <w:rPr>
          <w:rFonts w:ascii="宋体"/>
          <w:kern w:val="0"/>
          <w:sz w:val="22"/>
          <w:szCs w:val="22"/>
        </w:rPr>
      </w:pPr>
      <w:r>
        <w:rPr>
          <w:rFonts w:hint="eastAsia" w:ascii="宋体" w:hAnsi="宋体" w:cs="宋体"/>
          <w:kern w:val="0"/>
          <w:sz w:val="22"/>
          <w:szCs w:val="22"/>
        </w:rPr>
        <w:t>我（</w:t>
      </w:r>
      <w:r>
        <w:rPr>
          <w:rFonts w:ascii="宋体" w:hAnsi="宋体" w:cs="宋体"/>
          <w:kern w:val="0"/>
          <w:sz w:val="22"/>
          <w:szCs w:val="22"/>
          <w:u w:val="single"/>
        </w:rPr>
        <w:t xml:space="preserve"> </w:t>
      </w:r>
      <w:r>
        <w:rPr>
          <w:rFonts w:hint="eastAsia" w:ascii="宋体" w:hAnsi="宋体" w:cs="宋体"/>
          <w:kern w:val="0"/>
          <w:sz w:val="22"/>
          <w:szCs w:val="22"/>
          <w:u w:val="single"/>
        </w:rPr>
        <w:t>姓名</w:t>
      </w:r>
      <w:r>
        <w:rPr>
          <w:rFonts w:ascii="宋体" w:hAnsi="宋体" w:cs="宋体"/>
          <w:kern w:val="0"/>
          <w:sz w:val="22"/>
          <w:szCs w:val="22"/>
          <w:u w:val="single"/>
        </w:rPr>
        <w:t xml:space="preserve"> </w:t>
      </w:r>
      <w:r>
        <w:rPr>
          <w:rFonts w:hint="eastAsia" w:ascii="宋体" w:hAnsi="宋体" w:cs="宋体"/>
          <w:kern w:val="0"/>
          <w:sz w:val="22"/>
          <w:szCs w:val="22"/>
        </w:rPr>
        <w:t>）系（</w:t>
      </w:r>
      <w:r>
        <w:rPr>
          <w:rFonts w:ascii="宋体" w:hAnsi="宋体" w:cs="宋体"/>
          <w:kern w:val="0"/>
          <w:sz w:val="22"/>
          <w:szCs w:val="22"/>
          <w:u w:val="single"/>
        </w:rPr>
        <w:t xml:space="preserve"> </w:t>
      </w:r>
      <w:r>
        <w:rPr>
          <w:rFonts w:hint="eastAsia" w:ascii="宋体" w:hAnsi="宋体" w:cs="宋体"/>
          <w:kern w:val="0"/>
          <w:sz w:val="22"/>
          <w:szCs w:val="22"/>
          <w:u w:val="single"/>
        </w:rPr>
        <w:t>投标人名称</w:t>
      </w:r>
      <w:r>
        <w:rPr>
          <w:rFonts w:ascii="宋体" w:hAnsi="宋体" w:cs="宋体"/>
          <w:kern w:val="0"/>
          <w:sz w:val="22"/>
          <w:szCs w:val="22"/>
          <w:u w:val="single"/>
        </w:rPr>
        <w:t xml:space="preserve"> </w:t>
      </w:r>
      <w:r>
        <w:rPr>
          <w:rFonts w:hint="eastAsia" w:ascii="宋体" w:hAnsi="宋体" w:cs="宋体"/>
          <w:kern w:val="0"/>
          <w:sz w:val="22"/>
          <w:szCs w:val="22"/>
        </w:rPr>
        <w:t>）的法定代表人，我公司自愿参加贵方组织的</w:t>
      </w:r>
      <w:r>
        <w:rPr>
          <w:rFonts w:hint="eastAsia" w:ascii="宋体" w:hAnsi="宋体" w:cs="宋体"/>
          <w:kern w:val="0"/>
          <w:sz w:val="22"/>
          <w:szCs w:val="22"/>
          <w:u w:val="single"/>
          <w:lang w:eastAsia="zh-CN"/>
        </w:rPr>
        <w:t>温岭市新河镇2024年度病媒生物防制专业化服务项目采购</w:t>
      </w:r>
      <w:r>
        <w:rPr>
          <w:rFonts w:hint="eastAsia" w:ascii="宋体" w:hAnsi="宋体" w:cs="宋体"/>
          <w:kern w:val="0"/>
          <w:sz w:val="22"/>
          <w:szCs w:val="22"/>
        </w:rPr>
        <w:t>（编号为</w:t>
      </w:r>
      <w:r>
        <w:rPr>
          <w:rFonts w:hint="eastAsia" w:ascii="宋体" w:hAnsi="宋体" w:cs="宋体"/>
          <w:kern w:val="0"/>
          <w:sz w:val="22"/>
          <w:szCs w:val="22"/>
          <w:u w:val="single"/>
          <w:lang w:eastAsia="zh-CN"/>
        </w:rPr>
        <w:t>JJWL24031981</w:t>
      </w:r>
      <w:r>
        <w:rPr>
          <w:rFonts w:hint="eastAsia" w:ascii="宋体" w:hAnsi="宋体" w:cs="宋体"/>
          <w:kern w:val="0"/>
          <w:sz w:val="22"/>
          <w:szCs w:val="22"/>
        </w:rPr>
        <w:t>）的投标，为此，我公司就本次投标有关事项郑重声明如下：</w:t>
      </w:r>
    </w:p>
    <w:p>
      <w:pPr>
        <w:keepNext w:val="0"/>
        <w:keepLines w:val="0"/>
        <w:pageBreakBefore w:val="0"/>
        <w:widowControl w:val="0"/>
        <w:kinsoku/>
        <w:wordWrap/>
        <w:overflowPunct/>
        <w:topLinePunct w:val="0"/>
        <w:autoSpaceDE/>
        <w:autoSpaceDN/>
        <w:bidi w:val="0"/>
        <w:snapToGrid w:val="0"/>
        <w:spacing w:line="380" w:lineRule="exact"/>
        <w:ind w:firstLine="440" w:firstLineChars="200"/>
        <w:textAlignment w:val="auto"/>
        <w:rPr>
          <w:rFonts w:hint="eastAsia" w:ascii="宋体" w:hAnsi="宋体" w:cs="宋体"/>
          <w:b w:val="0"/>
          <w:bCs w:val="0"/>
          <w:kern w:val="0"/>
          <w:sz w:val="22"/>
          <w:szCs w:val="22"/>
          <w:u w:val="single"/>
        </w:rPr>
      </w:pPr>
      <w:r>
        <w:rPr>
          <w:rFonts w:hint="eastAsia" w:ascii="宋体" w:hAnsi="宋体" w:cs="宋体"/>
          <w:b w:val="0"/>
          <w:bCs w:val="0"/>
          <w:kern w:val="0"/>
          <w:sz w:val="22"/>
          <w:szCs w:val="22"/>
          <w:u w:val="single"/>
        </w:rPr>
        <w:t>1、我公司具有良好的商业信誉和健全的财务会计制度；</w:t>
      </w:r>
    </w:p>
    <w:p>
      <w:pPr>
        <w:keepNext w:val="0"/>
        <w:keepLines w:val="0"/>
        <w:pageBreakBefore w:val="0"/>
        <w:widowControl w:val="0"/>
        <w:kinsoku/>
        <w:wordWrap/>
        <w:overflowPunct/>
        <w:topLinePunct w:val="0"/>
        <w:autoSpaceDE/>
        <w:autoSpaceDN/>
        <w:bidi w:val="0"/>
        <w:snapToGrid w:val="0"/>
        <w:spacing w:line="380" w:lineRule="exact"/>
        <w:ind w:firstLine="440" w:firstLineChars="200"/>
        <w:textAlignment w:val="auto"/>
        <w:rPr>
          <w:rFonts w:hint="eastAsia" w:ascii="宋体" w:hAnsi="宋体" w:cs="宋体"/>
          <w:b w:val="0"/>
          <w:bCs w:val="0"/>
          <w:kern w:val="0"/>
          <w:sz w:val="22"/>
          <w:szCs w:val="22"/>
          <w:u w:val="single"/>
        </w:rPr>
      </w:pPr>
      <w:r>
        <w:rPr>
          <w:rFonts w:hint="eastAsia" w:ascii="宋体" w:hAnsi="宋体" w:cs="宋体"/>
          <w:b w:val="0"/>
          <w:bCs w:val="0"/>
          <w:kern w:val="0"/>
          <w:sz w:val="22"/>
          <w:szCs w:val="22"/>
          <w:u w:val="single"/>
        </w:rPr>
        <w:t>2、我公司具有依法缴纳税收和社会保障资金的良好记录；</w:t>
      </w:r>
    </w:p>
    <w:p>
      <w:pPr>
        <w:keepNext w:val="0"/>
        <w:keepLines w:val="0"/>
        <w:pageBreakBefore w:val="0"/>
        <w:widowControl w:val="0"/>
        <w:kinsoku/>
        <w:wordWrap/>
        <w:overflowPunct/>
        <w:topLinePunct w:val="0"/>
        <w:autoSpaceDE/>
        <w:autoSpaceDN/>
        <w:bidi w:val="0"/>
        <w:snapToGrid w:val="0"/>
        <w:spacing w:line="380" w:lineRule="exact"/>
        <w:ind w:firstLine="440" w:firstLineChars="200"/>
        <w:textAlignment w:val="auto"/>
        <w:rPr>
          <w:rFonts w:hint="eastAsia" w:ascii="宋体" w:hAnsi="宋体" w:cs="宋体"/>
          <w:b w:val="0"/>
          <w:bCs w:val="0"/>
          <w:kern w:val="0"/>
          <w:sz w:val="22"/>
          <w:szCs w:val="22"/>
          <w:u w:val="single"/>
        </w:rPr>
      </w:pPr>
      <w:r>
        <w:rPr>
          <w:rFonts w:hint="eastAsia" w:ascii="宋体" w:hAnsi="宋体" w:cs="宋体"/>
          <w:b w:val="0"/>
          <w:bCs w:val="0"/>
          <w:kern w:val="0"/>
          <w:sz w:val="22"/>
          <w:szCs w:val="22"/>
          <w:u w:val="single"/>
        </w:rPr>
        <w:t>3、我公司截止投标时间近三年以来，在经营活动中无重大违法记录（重大违法记录是指供应商因违法经营受到刑事处罚或者责令停产停业、吊销许可证或者执照、较大数额罚款等行政处罚）。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snapToGrid w:val="0"/>
        <w:spacing w:line="380" w:lineRule="exact"/>
        <w:ind w:firstLine="440" w:firstLineChars="200"/>
        <w:textAlignment w:val="auto"/>
        <w:rPr>
          <w:rFonts w:ascii="宋体" w:cs="宋体"/>
          <w:b w:val="0"/>
          <w:bCs w:val="0"/>
          <w:kern w:val="0"/>
          <w:sz w:val="22"/>
          <w:szCs w:val="22"/>
          <w:u w:val="single"/>
        </w:rPr>
      </w:pPr>
      <w:r>
        <w:rPr>
          <w:rFonts w:hint="eastAsia" w:ascii="宋体" w:hAnsi="宋体" w:cs="宋体"/>
          <w:b w:val="0"/>
          <w:bCs w:val="0"/>
          <w:kern w:val="0"/>
          <w:sz w:val="22"/>
          <w:szCs w:val="22"/>
          <w:u w:val="single"/>
        </w:rPr>
        <w:t>4、我公司截止投标时间近三年以来，未被“信用中国”（www.creditchina.gov.cn）、“中国政府采购网”（www.ccgp.gov.cn）列入失信被执行人、重大税收违法失信主体、政府采购严重违法失信行为记录名单。。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80" w:lineRule="exact"/>
        <w:ind w:firstLine="440" w:firstLineChars="200"/>
        <w:textAlignment w:val="auto"/>
        <w:rPr>
          <w:rFonts w:hint="eastAsia" w:ascii="宋体" w:hAnsi="宋体" w:cs="宋体"/>
          <w:kern w:val="0"/>
          <w:sz w:val="22"/>
          <w:szCs w:val="22"/>
          <w:highlight w:val="none"/>
          <w:lang w:val="zh-CN"/>
        </w:rPr>
      </w:pPr>
      <w:r>
        <w:rPr>
          <w:rFonts w:hint="eastAsia" w:ascii="宋体" w:hAnsi="宋体" w:cs="宋体"/>
          <w:kern w:val="0"/>
          <w:sz w:val="22"/>
          <w:szCs w:val="22"/>
          <w:highlight w:val="none"/>
          <w:lang w:val="zh-CN"/>
        </w:rPr>
        <w:t>5、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keepNext w:val="0"/>
        <w:keepLines w:val="0"/>
        <w:pageBreakBefore w:val="0"/>
        <w:widowControl w:val="0"/>
        <w:kinsoku/>
        <w:wordWrap/>
        <w:overflowPunct/>
        <w:topLinePunct w:val="0"/>
        <w:autoSpaceDE/>
        <w:autoSpaceDN/>
        <w:bidi w:val="0"/>
        <w:adjustRightInd w:val="0"/>
        <w:snapToGrid w:val="0"/>
        <w:spacing w:line="380" w:lineRule="exact"/>
        <w:ind w:firstLine="440" w:firstLineChars="200"/>
        <w:textAlignment w:val="auto"/>
        <w:rPr>
          <w:rFonts w:hint="eastAsia" w:ascii="宋体" w:hAnsi="宋体" w:cs="宋体"/>
          <w:kern w:val="0"/>
          <w:sz w:val="22"/>
          <w:szCs w:val="22"/>
          <w:highlight w:val="none"/>
          <w:lang w:val="zh-CN"/>
        </w:rPr>
      </w:pPr>
      <w:r>
        <w:rPr>
          <w:rFonts w:hint="eastAsia" w:ascii="宋体" w:hAnsi="宋体" w:cs="宋体"/>
          <w:kern w:val="0"/>
          <w:sz w:val="22"/>
          <w:szCs w:val="22"/>
          <w:highlight w:val="none"/>
          <w:lang w:val="zh-CN"/>
        </w:rPr>
        <w:t>6、我公司不是采购人的附属机构；在获知本项目采购信息后，与采购人聘请的为此项目提供咨询服务的公司及其附属机构没有任何联系。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val="0"/>
        <w:snapToGrid w:val="0"/>
        <w:spacing w:line="380" w:lineRule="exact"/>
        <w:ind w:firstLine="440" w:firstLineChars="200"/>
        <w:textAlignment w:val="auto"/>
        <w:rPr>
          <w:rFonts w:hint="eastAsia" w:ascii="宋体" w:hAnsi="宋体" w:cs="宋体"/>
          <w:kern w:val="0"/>
          <w:sz w:val="22"/>
          <w:szCs w:val="22"/>
          <w:highlight w:val="none"/>
          <w:lang w:val="zh-CN"/>
        </w:rPr>
      </w:pPr>
      <w:r>
        <w:rPr>
          <w:rFonts w:hint="eastAsia" w:ascii="宋体" w:hAnsi="宋体" w:cs="宋体"/>
          <w:kern w:val="0"/>
          <w:sz w:val="22"/>
          <w:szCs w:val="22"/>
          <w:highlight w:val="none"/>
          <w:lang w:val="zh-CN"/>
        </w:rPr>
        <w:t>7、我公司保证，采购人在中华人民共和国境内使用我公司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adjustRightInd w:val="0"/>
        <w:snapToGrid w:val="0"/>
        <w:spacing w:line="380" w:lineRule="exact"/>
        <w:ind w:firstLine="440" w:firstLineChars="200"/>
        <w:textAlignment w:val="auto"/>
        <w:rPr>
          <w:rFonts w:hint="eastAsia" w:ascii="宋体" w:hAnsi="宋体" w:cs="宋体"/>
          <w:kern w:val="0"/>
          <w:sz w:val="22"/>
          <w:szCs w:val="22"/>
          <w:highlight w:val="none"/>
          <w:lang w:val="zh-CN"/>
        </w:rPr>
      </w:pPr>
      <w:r>
        <w:rPr>
          <w:rFonts w:hint="eastAsia" w:ascii="宋体" w:hAnsi="宋体" w:cs="宋体"/>
          <w:kern w:val="0"/>
          <w:sz w:val="22"/>
          <w:szCs w:val="22"/>
          <w:highlight w:val="none"/>
          <w:lang w:val="zh-CN"/>
        </w:rPr>
        <w:t>8、我公司严格履行政府采购合同，不降低合同约定的产品质量和服务，不擅自变更、中止、终止合同，或拒绝履行合同义务；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adjustRightInd w:val="0"/>
        <w:snapToGrid w:val="0"/>
        <w:spacing w:line="380" w:lineRule="exact"/>
        <w:ind w:firstLine="440" w:firstLineChars="200"/>
        <w:textAlignment w:val="auto"/>
        <w:rPr>
          <w:rFonts w:hint="eastAsia" w:ascii="宋体" w:hAnsi="宋体" w:cs="宋体"/>
          <w:kern w:val="0"/>
          <w:sz w:val="22"/>
          <w:szCs w:val="22"/>
          <w:highlight w:val="none"/>
          <w:lang w:val="zh-CN"/>
        </w:rPr>
      </w:pPr>
      <w:r>
        <w:rPr>
          <w:rFonts w:hint="eastAsia" w:ascii="宋体" w:hAnsi="宋体" w:cs="宋体"/>
          <w:kern w:val="0"/>
          <w:sz w:val="22"/>
          <w:szCs w:val="22"/>
          <w:highlight w:val="none"/>
          <w:lang w:val="en-US" w:eastAsia="zh-CN"/>
        </w:rPr>
        <w:t>9</w:t>
      </w:r>
      <w:r>
        <w:rPr>
          <w:rFonts w:hint="eastAsia" w:ascii="宋体" w:hAnsi="宋体" w:cs="宋体"/>
          <w:kern w:val="0"/>
          <w:sz w:val="22"/>
          <w:szCs w:val="22"/>
          <w:highlight w:val="none"/>
          <w:lang w:val="zh-CN"/>
        </w:rPr>
        <w:t>、我公司承诺单位负责人为同一人或者存在控股、管理关系的不同单位，不参加同一标项投标。</w:t>
      </w:r>
    </w:p>
    <w:p>
      <w:pPr>
        <w:keepNext w:val="0"/>
        <w:keepLines w:val="0"/>
        <w:pageBreakBefore w:val="0"/>
        <w:widowControl w:val="0"/>
        <w:kinsoku/>
        <w:wordWrap/>
        <w:overflowPunct/>
        <w:topLinePunct w:val="0"/>
        <w:autoSpaceDE/>
        <w:autoSpaceDN/>
        <w:bidi w:val="0"/>
        <w:adjustRightInd w:val="0"/>
        <w:snapToGrid w:val="0"/>
        <w:spacing w:line="380" w:lineRule="exact"/>
        <w:ind w:firstLine="440" w:firstLineChars="200"/>
        <w:textAlignment w:val="auto"/>
        <w:rPr>
          <w:rFonts w:hint="eastAsia" w:ascii="宋体" w:hAnsi="宋体" w:cs="宋体"/>
          <w:kern w:val="0"/>
          <w:sz w:val="22"/>
          <w:szCs w:val="22"/>
          <w:highlight w:val="none"/>
          <w:lang w:val="zh-CN"/>
        </w:rPr>
      </w:pPr>
      <w:r>
        <w:rPr>
          <w:rFonts w:hint="eastAsia" w:ascii="宋体" w:hAnsi="宋体" w:cs="宋体"/>
          <w:kern w:val="0"/>
          <w:sz w:val="22"/>
          <w:szCs w:val="22"/>
          <w:highlight w:val="none"/>
          <w:lang w:val="zh-CN"/>
        </w:rPr>
        <w:t>1</w:t>
      </w:r>
      <w:r>
        <w:rPr>
          <w:rFonts w:hint="eastAsia" w:ascii="宋体" w:hAnsi="宋体" w:cs="宋体"/>
          <w:kern w:val="0"/>
          <w:sz w:val="22"/>
          <w:szCs w:val="22"/>
          <w:highlight w:val="none"/>
          <w:lang w:val="en-US" w:eastAsia="zh-CN"/>
        </w:rPr>
        <w:t>0</w:t>
      </w:r>
      <w:r>
        <w:rPr>
          <w:rFonts w:hint="eastAsia" w:ascii="宋体" w:hAnsi="宋体" w:cs="宋体"/>
          <w:kern w:val="0"/>
          <w:sz w:val="22"/>
          <w:szCs w:val="22"/>
          <w:highlight w:val="none"/>
          <w:lang w:val="zh-CN"/>
        </w:rPr>
        <w:t>、我公司没有为采购项目提供整体设计、规范编制或者项目管理、监理、检测等服务。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val="0"/>
        <w:snapToGrid w:val="0"/>
        <w:spacing w:line="380" w:lineRule="exact"/>
        <w:ind w:firstLine="440" w:firstLineChars="200"/>
        <w:textAlignment w:val="auto"/>
        <w:rPr>
          <w:rFonts w:hint="eastAsia" w:ascii="宋体" w:hAnsi="宋体" w:cs="宋体"/>
          <w:kern w:val="0"/>
          <w:sz w:val="22"/>
          <w:szCs w:val="22"/>
          <w:highlight w:val="none"/>
          <w:lang w:val="zh-CN"/>
        </w:rPr>
      </w:pPr>
      <w:r>
        <w:rPr>
          <w:rFonts w:hint="eastAsia" w:ascii="宋体" w:hAnsi="宋体" w:cs="宋体"/>
          <w:kern w:val="0"/>
          <w:sz w:val="22"/>
          <w:szCs w:val="22"/>
          <w:highlight w:val="none"/>
          <w:lang w:val="en-US" w:eastAsia="zh-CN"/>
        </w:rPr>
        <w:t>11、</w:t>
      </w:r>
      <w:r>
        <w:rPr>
          <w:rFonts w:hint="eastAsia" w:ascii="宋体" w:hAnsi="宋体" w:cs="宋体"/>
          <w:kern w:val="0"/>
          <w:sz w:val="22"/>
          <w:szCs w:val="22"/>
          <w:highlight w:val="none"/>
          <w:lang w:val="zh-CN"/>
        </w:rPr>
        <w:t>我公司不属于公益一类事业单位。</w:t>
      </w:r>
    </w:p>
    <w:p>
      <w:pPr>
        <w:keepNext w:val="0"/>
        <w:keepLines w:val="0"/>
        <w:pageBreakBefore w:val="0"/>
        <w:widowControl w:val="0"/>
        <w:kinsoku/>
        <w:wordWrap/>
        <w:overflowPunct/>
        <w:topLinePunct w:val="0"/>
        <w:autoSpaceDE/>
        <w:autoSpaceDN/>
        <w:bidi w:val="0"/>
        <w:adjustRightInd w:val="0"/>
        <w:snapToGrid w:val="0"/>
        <w:spacing w:line="380" w:lineRule="exact"/>
        <w:ind w:firstLine="440" w:firstLineChars="200"/>
        <w:textAlignment w:val="auto"/>
        <w:rPr>
          <w:rFonts w:hint="eastAsia" w:ascii="宋体" w:hAnsi="宋体" w:cs="宋体"/>
          <w:kern w:val="0"/>
          <w:sz w:val="22"/>
          <w:szCs w:val="22"/>
          <w:highlight w:val="none"/>
          <w:lang w:val="zh-CN"/>
        </w:rPr>
      </w:pPr>
      <w:r>
        <w:rPr>
          <w:rFonts w:hint="eastAsia" w:ascii="宋体" w:hAnsi="宋体" w:cs="宋体"/>
          <w:kern w:val="0"/>
          <w:sz w:val="22"/>
          <w:szCs w:val="22"/>
          <w:highlight w:val="none"/>
          <w:lang w:val="en-US" w:eastAsia="zh-CN"/>
        </w:rPr>
        <w:t>12</w:t>
      </w:r>
      <w:r>
        <w:rPr>
          <w:rFonts w:hint="eastAsia" w:ascii="宋体" w:hAnsi="宋体" w:cs="宋体"/>
          <w:kern w:val="0"/>
          <w:sz w:val="22"/>
          <w:szCs w:val="22"/>
          <w:highlight w:val="none"/>
          <w:lang w:val="zh-CN"/>
        </w:rPr>
        <w:t>、以上事项如有虚假或隐瞒，我公司愿意承担一切后果，并不再寻求任何旨在减轻或免除法律责任的辩解。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val="0"/>
        <w:snapToGrid w:val="0"/>
        <w:spacing w:line="380" w:lineRule="exact"/>
        <w:ind w:firstLine="440" w:firstLineChars="200"/>
        <w:textAlignment w:val="auto"/>
        <w:rPr>
          <w:rFonts w:ascii="宋体"/>
          <w:kern w:val="0"/>
          <w:sz w:val="22"/>
          <w:szCs w:val="22"/>
          <w:lang w:val="zh-CN"/>
        </w:rPr>
      </w:pPr>
      <w:r>
        <w:rPr>
          <w:rFonts w:ascii="宋体" w:hAnsi="宋体" w:cs="宋体"/>
          <w:kern w:val="0"/>
          <w:sz w:val="22"/>
          <w:szCs w:val="22"/>
          <w:lang w:val="zh-CN"/>
        </w:rPr>
        <w:t xml:space="preserve">                               </w:t>
      </w:r>
      <w:r>
        <w:rPr>
          <w:rFonts w:hint="eastAsia" w:ascii="宋体" w:hAnsi="宋体" w:cs="宋体"/>
          <w:kern w:val="0"/>
          <w:sz w:val="22"/>
          <w:szCs w:val="22"/>
          <w:lang w:val="zh-CN"/>
        </w:rPr>
        <w:t>投标人名称（公章）：</w:t>
      </w:r>
    </w:p>
    <w:p>
      <w:pPr>
        <w:keepNext w:val="0"/>
        <w:keepLines w:val="0"/>
        <w:pageBreakBefore w:val="0"/>
        <w:widowControl w:val="0"/>
        <w:kinsoku/>
        <w:wordWrap/>
        <w:overflowPunct/>
        <w:topLinePunct w:val="0"/>
        <w:autoSpaceDE/>
        <w:autoSpaceDN/>
        <w:bidi w:val="0"/>
        <w:adjustRightInd w:val="0"/>
        <w:snapToGrid w:val="0"/>
        <w:spacing w:line="380" w:lineRule="exact"/>
        <w:ind w:firstLine="440" w:firstLineChars="200"/>
        <w:textAlignment w:val="auto"/>
        <w:rPr>
          <w:rFonts w:ascii="宋体"/>
          <w:kern w:val="0"/>
          <w:sz w:val="22"/>
          <w:szCs w:val="22"/>
          <w:lang w:val="zh-CN"/>
        </w:rPr>
      </w:pPr>
      <w:r>
        <w:rPr>
          <w:rFonts w:ascii="宋体" w:hAnsi="宋体" w:cs="宋体"/>
          <w:kern w:val="0"/>
          <w:sz w:val="22"/>
          <w:szCs w:val="22"/>
          <w:lang w:val="zh-CN"/>
        </w:rPr>
        <w:t xml:space="preserve">                               </w:t>
      </w:r>
      <w:r>
        <w:rPr>
          <w:rFonts w:hint="eastAsia" w:ascii="宋体" w:hAnsi="宋体" w:cs="宋体"/>
          <w:kern w:val="0"/>
          <w:sz w:val="22"/>
          <w:szCs w:val="22"/>
          <w:lang w:val="zh-CN"/>
        </w:rPr>
        <w:t>法定代表人或授权委托人（签字或盖章）：</w:t>
      </w:r>
    </w:p>
    <w:p>
      <w:pPr>
        <w:keepNext w:val="0"/>
        <w:keepLines w:val="0"/>
        <w:pageBreakBefore w:val="0"/>
        <w:widowControl w:val="0"/>
        <w:kinsoku/>
        <w:wordWrap/>
        <w:overflowPunct/>
        <w:topLinePunct w:val="0"/>
        <w:autoSpaceDE/>
        <w:autoSpaceDN/>
        <w:bidi w:val="0"/>
        <w:adjustRightInd w:val="0"/>
        <w:snapToGrid w:val="0"/>
        <w:spacing w:line="380" w:lineRule="exact"/>
        <w:ind w:firstLine="440" w:firstLineChars="200"/>
        <w:jc w:val="center"/>
        <w:textAlignment w:val="auto"/>
        <w:rPr>
          <w:rFonts w:ascii="宋体"/>
          <w:kern w:val="0"/>
          <w:sz w:val="22"/>
          <w:szCs w:val="22"/>
          <w:lang w:val="zh-CN"/>
        </w:rPr>
      </w:pPr>
      <w:r>
        <w:rPr>
          <w:rFonts w:ascii="宋体" w:hAnsi="宋体" w:cs="宋体"/>
          <w:kern w:val="0"/>
          <w:sz w:val="22"/>
          <w:szCs w:val="22"/>
          <w:lang w:val="zh-CN"/>
        </w:rPr>
        <w:t xml:space="preserve">                      </w:t>
      </w:r>
      <w:r>
        <w:rPr>
          <w:rFonts w:hint="eastAsia" w:ascii="宋体" w:hAnsi="宋体" w:cs="宋体"/>
          <w:kern w:val="0"/>
          <w:sz w:val="22"/>
          <w:szCs w:val="22"/>
          <w:lang w:val="zh-CN"/>
        </w:rPr>
        <w:t>日期：</w:t>
      </w:r>
      <w:r>
        <w:rPr>
          <w:rFonts w:hint="eastAsia" w:ascii="宋体" w:hAnsi="宋体" w:cs="宋体"/>
          <w:kern w:val="0"/>
          <w:sz w:val="22"/>
          <w:szCs w:val="22"/>
        </w:rPr>
        <w:t xml:space="preserve">  </w:t>
      </w:r>
      <w:r>
        <w:rPr>
          <w:rFonts w:hint="eastAsia" w:ascii="宋体" w:hAnsi="宋体" w:cs="宋体"/>
          <w:kern w:val="0"/>
          <w:sz w:val="22"/>
          <w:szCs w:val="22"/>
          <w:lang w:val="zh-CN"/>
        </w:rPr>
        <w:t>年</w:t>
      </w:r>
      <w:r>
        <w:rPr>
          <w:rFonts w:ascii="宋体" w:hAnsi="宋体" w:cs="宋体"/>
          <w:kern w:val="0"/>
          <w:sz w:val="22"/>
          <w:szCs w:val="22"/>
          <w:lang w:val="zh-CN"/>
        </w:rPr>
        <w:t xml:space="preserve"> </w:t>
      </w:r>
      <w:r>
        <w:rPr>
          <w:rFonts w:hint="eastAsia" w:ascii="宋体" w:hAnsi="宋体" w:cs="宋体"/>
          <w:kern w:val="0"/>
          <w:sz w:val="22"/>
          <w:szCs w:val="22"/>
        </w:rPr>
        <w:t xml:space="preserve">  </w:t>
      </w:r>
      <w:r>
        <w:rPr>
          <w:rFonts w:ascii="宋体" w:hAnsi="宋体" w:cs="宋体"/>
          <w:kern w:val="0"/>
          <w:sz w:val="22"/>
          <w:szCs w:val="22"/>
          <w:lang w:val="zh-CN"/>
        </w:rPr>
        <w:t xml:space="preserve"> </w:t>
      </w:r>
      <w:r>
        <w:rPr>
          <w:rFonts w:hint="eastAsia" w:ascii="宋体" w:hAnsi="宋体" w:cs="宋体"/>
          <w:kern w:val="0"/>
          <w:sz w:val="22"/>
          <w:szCs w:val="22"/>
          <w:lang w:val="zh-CN"/>
        </w:rPr>
        <w:t>月</w:t>
      </w:r>
      <w:r>
        <w:rPr>
          <w:rFonts w:ascii="宋体" w:hAnsi="宋体" w:cs="宋体"/>
          <w:kern w:val="0"/>
          <w:sz w:val="22"/>
          <w:szCs w:val="22"/>
          <w:lang w:val="zh-CN"/>
        </w:rPr>
        <w:t xml:space="preserve"> </w:t>
      </w:r>
      <w:r>
        <w:rPr>
          <w:rFonts w:hint="eastAsia" w:ascii="宋体" w:hAnsi="宋体" w:cs="宋体"/>
          <w:kern w:val="0"/>
          <w:sz w:val="22"/>
          <w:szCs w:val="22"/>
        </w:rPr>
        <w:t xml:space="preserve">  </w:t>
      </w:r>
      <w:r>
        <w:rPr>
          <w:rFonts w:ascii="宋体" w:hAnsi="宋体" w:cs="宋体"/>
          <w:kern w:val="0"/>
          <w:sz w:val="22"/>
          <w:szCs w:val="22"/>
          <w:lang w:val="zh-CN"/>
        </w:rPr>
        <w:t xml:space="preserve"> </w:t>
      </w:r>
      <w:r>
        <w:rPr>
          <w:rFonts w:hint="eastAsia" w:ascii="宋体" w:hAnsi="宋体" w:cs="宋体"/>
          <w:kern w:val="0"/>
          <w:sz w:val="22"/>
          <w:szCs w:val="22"/>
          <w:lang w:val="zh-CN"/>
        </w:rPr>
        <w:t>日</w:t>
      </w:r>
    </w:p>
    <w:p>
      <w:pPr>
        <w:adjustRightInd w:val="0"/>
        <w:snapToGrid w:val="0"/>
        <w:spacing w:line="360" w:lineRule="auto"/>
        <w:ind w:right="480"/>
        <w:rPr>
          <w:rFonts w:ascii="宋体" w:hAnsi="宋体" w:cs="宋体"/>
          <w:b/>
          <w:bCs/>
          <w:sz w:val="28"/>
          <w:szCs w:val="28"/>
        </w:rPr>
      </w:pPr>
    </w:p>
    <w:p>
      <w:pPr>
        <w:adjustRightInd w:val="0"/>
        <w:snapToGrid w:val="0"/>
        <w:spacing w:line="360" w:lineRule="auto"/>
        <w:ind w:right="480"/>
        <w:rPr>
          <w:rFonts w:ascii="宋体"/>
          <w:b/>
          <w:bCs/>
          <w:sz w:val="28"/>
          <w:szCs w:val="28"/>
        </w:rPr>
      </w:pPr>
      <w:r>
        <w:rPr>
          <w:rFonts w:hint="eastAsia" w:ascii="宋体" w:hAnsi="宋体" w:cs="宋体"/>
          <w:b/>
          <w:bCs/>
          <w:sz w:val="24"/>
          <w:szCs w:val="24"/>
        </w:rPr>
        <w:t>附件2-1:</w:t>
      </w:r>
    </w:p>
    <w:p>
      <w:pPr>
        <w:pStyle w:val="11"/>
        <w:spacing w:before="120" w:after="120" w:line="480" w:lineRule="auto"/>
        <w:jc w:val="center"/>
        <w:rPr>
          <w:rFonts w:ascii="仿宋_GB2312" w:hAnsi="宋体" w:eastAsia="仿宋_GB2312"/>
          <w:b/>
          <w:color w:val="000000"/>
          <w:sz w:val="36"/>
          <w:szCs w:val="36"/>
        </w:rPr>
      </w:pPr>
      <w:r>
        <w:rPr>
          <w:rFonts w:hint="eastAsia" w:ascii="仿宋_GB2312" w:hAnsi="宋体" w:eastAsia="仿宋_GB2312"/>
          <w:b/>
          <w:color w:val="000000"/>
          <w:sz w:val="36"/>
          <w:szCs w:val="36"/>
        </w:rPr>
        <w:t>法定代表人身份证明书</w:t>
      </w:r>
    </w:p>
    <w:p>
      <w:pPr>
        <w:spacing w:line="540" w:lineRule="exact"/>
        <w:ind w:firstLine="480"/>
        <w:jc w:val="center"/>
        <w:rPr>
          <w:rFonts w:ascii="宋体" w:hAnsi="宋体"/>
        </w:rPr>
      </w:pPr>
    </w:p>
    <w:p>
      <w:pPr>
        <w:spacing w:line="540" w:lineRule="exact"/>
        <w:ind w:firstLine="480"/>
        <w:rPr>
          <w:rFonts w:ascii="宋体" w:hAnsi="宋体"/>
        </w:rPr>
      </w:pPr>
    </w:p>
    <w:p>
      <w:pPr>
        <w:spacing w:line="540" w:lineRule="exact"/>
        <w:ind w:firstLine="480"/>
        <w:rPr>
          <w:rFonts w:ascii="宋体" w:hAnsi="宋体"/>
        </w:rPr>
      </w:pPr>
      <w:r>
        <w:rPr>
          <w:rFonts w:hint="eastAsia" w:ascii="宋体" w:hAnsi="宋体"/>
          <w:u w:val="single"/>
        </w:rPr>
        <w:t>　 ｛姓名｝ 　</w:t>
      </w:r>
      <w:r>
        <w:rPr>
          <w:rFonts w:ascii="宋体" w:hAnsi="宋体"/>
        </w:rPr>
        <w:t>，</w:t>
      </w:r>
      <w:r>
        <w:rPr>
          <w:rFonts w:hint="eastAsia" w:ascii="宋体" w:hAnsi="宋体"/>
          <w:u w:val="single"/>
        </w:rPr>
        <w:t>　｛性别｝　</w:t>
      </w:r>
      <w:r>
        <w:rPr>
          <w:rFonts w:ascii="宋体" w:hAnsi="宋体"/>
        </w:rPr>
        <w:t>，</w:t>
      </w:r>
      <w:r>
        <w:rPr>
          <w:rFonts w:hint="eastAsia" w:ascii="宋体" w:hAnsi="宋体"/>
          <w:u w:val="single"/>
        </w:rPr>
        <w:t>　｛年龄｝　</w:t>
      </w:r>
      <w:r>
        <w:rPr>
          <w:rFonts w:ascii="宋体" w:hAnsi="宋体"/>
        </w:rPr>
        <w:t>，</w:t>
      </w:r>
      <w:r>
        <w:rPr>
          <w:rFonts w:hint="eastAsia" w:ascii="宋体" w:hAnsi="宋体"/>
          <w:u w:val="single"/>
        </w:rPr>
        <w:t>　｛职务｝　</w:t>
      </w:r>
      <w:r>
        <w:rPr>
          <w:rFonts w:ascii="宋体" w:hAnsi="宋体"/>
        </w:rPr>
        <w:t>，身份证号码</w:t>
      </w:r>
      <w:r>
        <w:rPr>
          <w:rFonts w:hint="eastAsia" w:ascii="宋体" w:hAnsi="宋体"/>
        </w:rPr>
        <w:t>：</w:t>
      </w:r>
      <w:r>
        <w:rPr>
          <w:rFonts w:hint="eastAsia" w:ascii="宋体" w:hAnsi="宋体"/>
          <w:u w:val="single"/>
        </w:rPr>
        <w:t xml:space="preserve">                       </w:t>
      </w:r>
      <w:r>
        <w:rPr>
          <w:rFonts w:hint="eastAsia" w:ascii="宋体" w:hAnsi="宋体"/>
        </w:rPr>
        <w:t>，</w:t>
      </w:r>
      <w:r>
        <w:rPr>
          <w:rFonts w:ascii="宋体" w:hAnsi="宋体"/>
        </w:rPr>
        <w:t>系</w:t>
      </w:r>
      <w:r>
        <w:rPr>
          <w:rFonts w:ascii="宋体" w:hAnsi="宋体"/>
          <w:u w:val="single"/>
        </w:rPr>
        <w:t>　｛</w:t>
      </w:r>
      <w:r>
        <w:rPr>
          <w:rFonts w:hint="eastAsia" w:ascii="宋体" w:hAnsi="宋体"/>
          <w:u w:val="single"/>
        </w:rPr>
        <w:t>投标人</w:t>
      </w:r>
      <w:r>
        <w:rPr>
          <w:rFonts w:ascii="宋体" w:hAnsi="宋体"/>
          <w:u w:val="single"/>
        </w:rPr>
        <w:t xml:space="preserve">名称｝ </w:t>
      </w:r>
      <w:r>
        <w:rPr>
          <w:rFonts w:ascii="宋体" w:hAnsi="宋体"/>
        </w:rPr>
        <w:t>的法定代表人。</w:t>
      </w:r>
    </w:p>
    <w:p>
      <w:pPr>
        <w:spacing w:line="540" w:lineRule="exact"/>
        <w:ind w:firstLine="480"/>
        <w:rPr>
          <w:rFonts w:ascii="宋体" w:hAnsi="宋体"/>
        </w:rPr>
      </w:pPr>
      <w:r>
        <w:rPr>
          <w:rFonts w:ascii="宋体" w:hAnsi="宋体"/>
        </w:rPr>
        <w:t>特此证明。</w:t>
      </w:r>
    </w:p>
    <w:p>
      <w:pPr>
        <w:spacing w:line="540" w:lineRule="exact"/>
        <w:ind w:firstLine="480"/>
        <w:rPr>
          <w:rFonts w:ascii="宋体" w:hAnsi="宋体"/>
        </w:rPr>
      </w:pPr>
    </w:p>
    <w:p>
      <w:pPr>
        <w:spacing w:line="540" w:lineRule="exact"/>
        <w:ind w:firstLine="480"/>
        <w:rPr>
          <w:rFonts w:ascii="宋体" w:hAnsi="宋体"/>
        </w:rPr>
      </w:pPr>
    </w:p>
    <w:p>
      <w:pPr>
        <w:spacing w:line="540" w:lineRule="exact"/>
        <w:ind w:firstLine="3675" w:firstLineChars="1750"/>
        <w:rPr>
          <w:rFonts w:ascii="宋体" w:hAnsi="宋体"/>
        </w:rPr>
      </w:pPr>
      <w:r>
        <w:rPr>
          <w:rFonts w:ascii="宋体" w:hAnsi="宋体"/>
          <w:u w:val="single"/>
        </w:rPr>
        <w:t>　｛</w:t>
      </w:r>
      <w:r>
        <w:rPr>
          <w:rFonts w:hint="eastAsia" w:ascii="宋体" w:hAnsi="宋体"/>
          <w:u w:val="single"/>
        </w:rPr>
        <w:t>投标人</w:t>
      </w:r>
      <w:r>
        <w:rPr>
          <w:rFonts w:ascii="宋体" w:hAnsi="宋体"/>
          <w:u w:val="single"/>
        </w:rPr>
        <w:t>名称｝　</w:t>
      </w:r>
      <w:r>
        <w:rPr>
          <w:rFonts w:ascii="宋体" w:hAnsi="宋体"/>
        </w:rPr>
        <w:t>（盖章）</w:t>
      </w:r>
    </w:p>
    <w:p>
      <w:pPr>
        <w:spacing w:line="540" w:lineRule="exact"/>
        <w:ind w:firstLine="3990" w:firstLineChars="1900"/>
        <w:rPr>
          <w:rFonts w:ascii="宋体" w:hAnsi="宋体"/>
        </w:rPr>
      </w:pP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日</w:t>
      </w:r>
    </w:p>
    <w:tbl>
      <w:tblPr>
        <w:tblStyle w:val="20"/>
        <w:tblpPr w:leftFromText="180" w:rightFromText="180" w:vertAnchor="page" w:horzAnchor="page" w:tblpX="3853" w:tblpY="9991"/>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41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61" w:hRule="atLeast"/>
        </w:trPr>
        <w:tc>
          <w:tcPr>
            <w:tcW w:w="5413" w:type="dxa"/>
            <w:vAlign w:val="center"/>
          </w:tcPr>
          <w:p>
            <w:pPr>
              <w:ind w:firstLine="480"/>
              <w:jc w:val="center"/>
              <w:rPr>
                <w:rFonts w:ascii="宋体" w:hAnsi="宋体"/>
              </w:rPr>
            </w:pPr>
            <w:r>
              <w:rPr>
                <w:rFonts w:ascii="宋体" w:hAnsi="宋体"/>
              </w:rPr>
              <w:t>法定代表人身份证</w:t>
            </w:r>
            <w:r>
              <w:rPr>
                <w:rFonts w:hint="eastAsia" w:ascii="宋体" w:hAnsi="宋体"/>
              </w:rPr>
              <w:t>正反面</w:t>
            </w:r>
            <w:r>
              <w:rPr>
                <w:rFonts w:ascii="宋体" w:hAnsi="宋体"/>
              </w:rPr>
              <w:t>复印件粘贴处</w:t>
            </w:r>
          </w:p>
        </w:tc>
      </w:tr>
    </w:tbl>
    <w:p>
      <w:pPr>
        <w:spacing w:line="540" w:lineRule="exact"/>
        <w:ind w:firstLine="480"/>
        <w:rPr>
          <w:rFonts w:ascii="宋体" w:hAnsi="宋体"/>
        </w:rPr>
      </w:pPr>
    </w:p>
    <w:p>
      <w:pPr>
        <w:spacing w:line="540" w:lineRule="exact"/>
        <w:ind w:firstLine="480"/>
        <w:rPr>
          <w:rFonts w:ascii="宋体" w:hAnsi="宋体"/>
        </w:rPr>
      </w:pPr>
    </w:p>
    <w:p>
      <w:pPr>
        <w:spacing w:line="540" w:lineRule="exact"/>
        <w:ind w:firstLine="480"/>
        <w:rPr>
          <w:rFonts w:ascii="宋体" w:hAnsi="宋体"/>
        </w:rPr>
      </w:pPr>
    </w:p>
    <w:p>
      <w:pPr>
        <w:spacing w:line="540" w:lineRule="exact"/>
        <w:ind w:firstLine="480"/>
        <w:rPr>
          <w:rFonts w:ascii="宋体" w:hAnsi="宋体"/>
        </w:rPr>
      </w:pPr>
      <w:r>
        <w:rPr>
          <w:rFonts w:ascii="宋体" w:hAnsi="宋体"/>
        </w:rPr>
        <w:t xml:space="preserve">  </w:t>
      </w:r>
    </w:p>
    <w:p>
      <w:pPr>
        <w:ind w:firstLine="480"/>
        <w:rPr>
          <w:rFonts w:ascii="宋体" w:hAnsi="宋体"/>
        </w:rPr>
      </w:pPr>
    </w:p>
    <w:p>
      <w:pPr>
        <w:adjustRightInd w:val="0"/>
        <w:snapToGrid w:val="0"/>
        <w:spacing w:line="360" w:lineRule="auto"/>
        <w:ind w:right="480"/>
        <w:rPr>
          <w:rFonts w:ascii="宋体"/>
          <w:b/>
          <w:bCs/>
          <w:sz w:val="28"/>
          <w:szCs w:val="28"/>
        </w:rPr>
      </w:pPr>
      <w:r>
        <w:rPr>
          <w:bCs/>
        </w:rPr>
        <w:br w:type="page"/>
      </w:r>
      <w:r>
        <w:rPr>
          <w:rFonts w:hint="eastAsia" w:ascii="宋体" w:hAnsi="宋体" w:cs="宋体"/>
          <w:b/>
          <w:bCs/>
          <w:sz w:val="24"/>
          <w:szCs w:val="24"/>
        </w:rPr>
        <w:t>附件2-2:</w:t>
      </w:r>
    </w:p>
    <w:p>
      <w:pPr>
        <w:spacing w:line="360" w:lineRule="auto"/>
        <w:jc w:val="center"/>
        <w:rPr>
          <w:rFonts w:ascii="宋体"/>
          <w:b/>
          <w:bCs/>
          <w:kern w:val="0"/>
          <w:sz w:val="32"/>
          <w:szCs w:val="32"/>
          <w:lang w:val="zh-CN"/>
        </w:rPr>
      </w:pPr>
      <w:r>
        <w:rPr>
          <w:rFonts w:hint="eastAsia" w:ascii="宋体" w:hAnsi="宋体" w:cs="宋体"/>
          <w:b/>
          <w:bCs/>
          <w:kern w:val="0"/>
          <w:sz w:val="32"/>
          <w:szCs w:val="32"/>
          <w:lang w:val="zh-CN"/>
        </w:rPr>
        <w:t>授权委托书</w:t>
      </w:r>
    </w:p>
    <w:p>
      <w:pPr>
        <w:spacing w:line="360" w:lineRule="auto"/>
        <w:ind w:firstLine="420" w:firstLineChars="200"/>
        <w:rPr>
          <w:rFonts w:ascii="宋体"/>
        </w:rPr>
      </w:pPr>
    </w:p>
    <w:p>
      <w:pPr>
        <w:spacing w:line="360" w:lineRule="auto"/>
        <w:ind w:firstLine="480" w:firstLineChars="200"/>
        <w:jc w:val="left"/>
        <w:rPr>
          <w:rFonts w:ascii="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p>
    <w:p>
      <w:pPr>
        <w:spacing w:line="360" w:lineRule="auto"/>
        <w:ind w:firstLine="480" w:firstLineChars="200"/>
        <w:jc w:val="left"/>
        <w:rPr>
          <w:rFonts w:ascii="宋体"/>
          <w:kern w:val="0"/>
          <w:sz w:val="24"/>
          <w:szCs w:val="24"/>
        </w:rPr>
      </w:pPr>
      <w:r>
        <w:rPr>
          <w:rFonts w:hint="eastAsia" w:ascii="宋体" w:hAnsi="宋体" w:cs="宋体"/>
          <w:kern w:val="0"/>
          <w:sz w:val="24"/>
          <w:szCs w:val="24"/>
        </w:rPr>
        <w:t>我单位全权委托：</w:t>
      </w:r>
      <w:r>
        <w:rPr>
          <w:rFonts w:ascii="宋体" w:hAnsi="宋体" w:cs="宋体"/>
          <w:kern w:val="0"/>
          <w:sz w:val="24"/>
          <w:szCs w:val="24"/>
        </w:rPr>
        <w:t xml:space="preserve">       </w:t>
      </w:r>
      <w:r>
        <w:rPr>
          <w:rFonts w:hint="eastAsia" w:ascii="宋体" w:hAnsi="宋体" w:cs="宋体"/>
          <w:kern w:val="0"/>
          <w:sz w:val="24"/>
          <w:szCs w:val="24"/>
        </w:rPr>
        <w:t>（身份证号：</w:t>
      </w:r>
      <w:r>
        <w:rPr>
          <w:rFonts w:ascii="宋体" w:hAnsi="宋体" w:cs="宋体"/>
          <w:kern w:val="0"/>
          <w:sz w:val="24"/>
          <w:szCs w:val="24"/>
        </w:rPr>
        <w:t xml:space="preserve">              </w:t>
      </w:r>
      <w:r>
        <w:rPr>
          <w:rFonts w:hint="eastAsia" w:ascii="宋体" w:hAnsi="宋体" w:cs="宋体"/>
          <w:kern w:val="0"/>
          <w:sz w:val="24"/>
          <w:szCs w:val="24"/>
        </w:rPr>
        <w:t>）作为我单位合法代理人，参加（填写项目名称及项目编号）投标活动，并办理上述项目所涉的投标文件签署、合同签订及项目实施等与之相关的投标全程各事项。该代理人的上述行为，均代表本单位，与本单位的行为具有同等法律效力</w:t>
      </w:r>
      <w:r>
        <w:rPr>
          <w:rFonts w:hint="eastAsia" w:ascii="宋体" w:hAnsi="宋体" w:cs="宋体"/>
          <w:kern w:val="0"/>
          <w:sz w:val="24"/>
          <w:szCs w:val="24"/>
          <w:lang w:eastAsia="zh-CN"/>
        </w:rPr>
        <w:t>，</w:t>
      </w:r>
      <w:r>
        <w:rPr>
          <w:rFonts w:hint="eastAsia" w:ascii="宋体" w:hAnsi="宋体" w:cs="宋体"/>
          <w:kern w:val="0"/>
          <w:sz w:val="24"/>
          <w:szCs w:val="24"/>
        </w:rPr>
        <w:t>本单位将承担该代理人行为的全部法律后果和法律责任。代理人无权转换委托权。</w:t>
      </w:r>
    </w:p>
    <w:p>
      <w:pPr>
        <w:spacing w:line="360" w:lineRule="auto"/>
        <w:ind w:firstLine="480" w:firstLineChars="200"/>
        <w:jc w:val="left"/>
        <w:rPr>
          <w:rFonts w:ascii="宋体"/>
          <w:kern w:val="0"/>
          <w:sz w:val="24"/>
          <w:szCs w:val="24"/>
        </w:rPr>
      </w:pPr>
      <w:r>
        <w:rPr>
          <w:rFonts w:hint="eastAsia" w:ascii="宋体" w:hAnsi="宋体" w:cs="宋体"/>
          <w:kern w:val="0"/>
          <w:sz w:val="24"/>
          <w:szCs w:val="24"/>
        </w:rPr>
        <w:t>特此委托</w:t>
      </w:r>
    </w:p>
    <w:p>
      <w:pPr>
        <w:widowControl/>
        <w:shd w:val="clear" w:color="auto" w:fill="FFFFFF"/>
        <w:spacing w:line="360" w:lineRule="auto"/>
        <w:ind w:firstLine="480" w:firstLineChars="200"/>
        <w:rPr>
          <w:rFonts w:ascii="宋体"/>
          <w:kern w:val="0"/>
          <w:sz w:val="24"/>
          <w:szCs w:val="24"/>
        </w:rPr>
      </w:pPr>
    </w:p>
    <w:p>
      <w:pPr>
        <w:widowControl/>
        <w:shd w:val="clear" w:color="auto" w:fill="FFFFFF"/>
        <w:spacing w:line="360" w:lineRule="auto"/>
        <w:ind w:firstLine="480" w:firstLineChars="200"/>
        <w:rPr>
          <w:rFonts w:ascii="宋体"/>
          <w:kern w:val="0"/>
          <w:sz w:val="24"/>
          <w:szCs w:val="24"/>
        </w:rPr>
      </w:pPr>
      <w:r>
        <w:rPr>
          <w:rFonts w:hint="eastAsia" w:ascii="宋体" w:hAnsi="宋体" w:cs="宋体"/>
          <w:kern w:val="0"/>
          <w:sz w:val="24"/>
          <w:szCs w:val="24"/>
        </w:rPr>
        <w:t>代理人姓名（签字）：　　　　　日期：　　年　　月　　日</w:t>
      </w:r>
    </w:p>
    <w:p>
      <w:pPr>
        <w:widowControl/>
        <w:shd w:val="clear" w:color="auto" w:fill="FFFFFF"/>
        <w:spacing w:line="360" w:lineRule="auto"/>
        <w:ind w:firstLine="480" w:firstLineChars="200"/>
        <w:rPr>
          <w:rFonts w:ascii="宋体"/>
          <w:kern w:val="0"/>
          <w:sz w:val="24"/>
          <w:szCs w:val="24"/>
        </w:rPr>
      </w:pPr>
    </w:p>
    <w:p>
      <w:pPr>
        <w:widowControl/>
        <w:shd w:val="clear" w:color="auto" w:fill="FFFFFF"/>
        <w:spacing w:line="360" w:lineRule="auto"/>
        <w:ind w:firstLine="480" w:firstLineChars="200"/>
        <w:rPr>
          <w:rFonts w:ascii="宋体"/>
          <w:kern w:val="0"/>
          <w:sz w:val="24"/>
          <w:szCs w:val="24"/>
        </w:rPr>
      </w:pPr>
    </w:p>
    <w:p>
      <w:pPr>
        <w:widowControl/>
        <w:shd w:val="clear" w:color="auto" w:fill="FFFFFF"/>
        <w:spacing w:line="360" w:lineRule="auto"/>
        <w:ind w:firstLine="480" w:firstLineChars="200"/>
        <w:rPr>
          <w:rFonts w:ascii="宋体"/>
          <w:kern w:val="0"/>
          <w:sz w:val="24"/>
          <w:szCs w:val="24"/>
        </w:rPr>
      </w:pPr>
      <w:r>
        <w:rPr>
          <w:rFonts w:hint="eastAsia" w:ascii="宋体" w:hAnsi="宋体" w:cs="宋体"/>
          <w:kern w:val="0"/>
          <w:sz w:val="24"/>
          <w:szCs w:val="24"/>
        </w:rPr>
        <w:t>法定代表人（签章）：　　　　　日期：　　年　　月　　日</w:t>
      </w:r>
    </w:p>
    <w:p>
      <w:pPr>
        <w:widowControl/>
        <w:shd w:val="clear" w:color="auto" w:fill="FFFFFF"/>
        <w:spacing w:line="360" w:lineRule="auto"/>
        <w:ind w:firstLine="480" w:firstLineChars="200"/>
        <w:jc w:val="right"/>
        <w:rPr>
          <w:rFonts w:ascii="宋体"/>
          <w:kern w:val="0"/>
          <w:sz w:val="24"/>
          <w:szCs w:val="24"/>
        </w:rPr>
      </w:pPr>
      <w:r>
        <w:rPr>
          <w:rFonts w:hint="eastAsia" w:ascii="宋体" w:hAnsi="宋体" w:cs="宋体"/>
          <w:kern w:val="0"/>
          <w:sz w:val="24"/>
          <w:szCs w:val="24"/>
        </w:rPr>
        <w:t>（委托单位加盖公章）</w:t>
      </w:r>
    </w:p>
    <w:p>
      <w:pPr>
        <w:spacing w:line="360" w:lineRule="auto"/>
        <w:ind w:firstLine="480" w:firstLineChars="200"/>
        <w:jc w:val="left"/>
        <w:rPr>
          <w:rFonts w:ascii="宋体"/>
          <w:kern w:val="0"/>
          <w:sz w:val="24"/>
          <w:szCs w:val="24"/>
        </w:rPr>
      </w:pPr>
    </w:p>
    <w:p>
      <w:pPr>
        <w:spacing w:line="360" w:lineRule="auto"/>
        <w:ind w:firstLine="480" w:firstLineChars="200"/>
        <w:jc w:val="left"/>
        <w:rPr>
          <w:rFonts w:ascii="宋体"/>
          <w:kern w:val="0"/>
          <w:sz w:val="24"/>
          <w:szCs w:val="24"/>
        </w:rPr>
      </w:pPr>
    </w:p>
    <w:p>
      <w:pPr>
        <w:spacing w:line="360" w:lineRule="auto"/>
        <w:ind w:firstLine="480" w:firstLineChars="200"/>
        <w:jc w:val="left"/>
        <w:rPr>
          <w:rFonts w:ascii="宋体"/>
          <w:kern w:val="0"/>
          <w:sz w:val="24"/>
          <w:szCs w:val="24"/>
        </w:rPr>
      </w:pPr>
      <w:r>
        <w:rPr>
          <w:rFonts w:hint="eastAsia" w:ascii="宋体" w:hAnsi="宋体" w:cs="宋体"/>
          <w:kern w:val="0"/>
          <w:sz w:val="24"/>
          <w:szCs w:val="24"/>
        </w:rPr>
        <w:t>附：</w:t>
      </w:r>
      <w:r>
        <w:rPr>
          <w:rFonts w:ascii="宋体" w:hAnsi="宋体" w:cs="宋体"/>
          <w:kern w:val="0"/>
          <w:sz w:val="24"/>
          <w:szCs w:val="24"/>
        </w:rPr>
        <w:t>1</w:t>
      </w:r>
      <w:r>
        <w:rPr>
          <w:rFonts w:hint="eastAsia" w:ascii="宋体" w:hAnsi="宋体" w:cs="宋体"/>
          <w:kern w:val="0"/>
          <w:sz w:val="24"/>
          <w:szCs w:val="24"/>
        </w:rPr>
        <w:t>、代理人身份证复印件（单位加盖公章）</w:t>
      </w:r>
    </w:p>
    <w:p>
      <w:pPr>
        <w:spacing w:line="360" w:lineRule="auto"/>
        <w:ind w:firstLine="480" w:firstLineChars="2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、法定代表人身份证复印件（单位加盖公章）</w:t>
      </w:r>
    </w:p>
    <w:p>
      <w:pPr>
        <w:rPr>
          <w:rFonts w:ascii="仿宋_GB2312" w:hAnsi="宋体"/>
          <w:sz w:val="30"/>
          <w:szCs w:val="30"/>
        </w:rPr>
      </w:pPr>
      <w:r>
        <w:rPr>
          <w:rFonts w:ascii="宋体"/>
          <w:b/>
          <w:bCs/>
          <w:sz w:val="28"/>
          <w:szCs w:val="28"/>
        </w:rPr>
        <w:br w:type="page"/>
      </w:r>
      <w:r>
        <w:rPr>
          <w:rFonts w:hint="eastAsia" w:ascii="宋体" w:hAnsi="宋体" w:cs="宋体"/>
          <w:b/>
          <w:bCs/>
          <w:sz w:val="24"/>
          <w:szCs w:val="24"/>
        </w:rPr>
        <w:t>附件3（</w:t>
      </w:r>
      <w:r>
        <w:rPr>
          <w:rFonts w:hint="eastAsia" w:ascii="宋体" w:hAnsi="宋体" w:cs="宋体"/>
          <w:b/>
          <w:bCs/>
          <w:color w:val="0000FF"/>
          <w:sz w:val="24"/>
          <w:szCs w:val="24"/>
          <w:u w:val="single"/>
        </w:rPr>
        <w:t>必须提供</w:t>
      </w:r>
      <w:r>
        <w:rPr>
          <w:rFonts w:hint="eastAsia" w:ascii="宋体" w:hAnsi="宋体" w:cs="宋体"/>
          <w:b/>
          <w:bCs/>
          <w:sz w:val="24"/>
          <w:szCs w:val="24"/>
        </w:rPr>
        <w:t>）:</w:t>
      </w:r>
    </w:p>
    <w:p>
      <w:pPr>
        <w:widowControl/>
        <w:jc w:val="center"/>
      </w:pPr>
      <w:r>
        <w:rPr>
          <w:rFonts w:hint="eastAsia" w:ascii="宋体" w:hAnsi="宋体" w:cs="宋体"/>
          <w:b/>
          <w:color w:val="000000"/>
          <w:kern w:val="0"/>
          <w:sz w:val="36"/>
          <w:szCs w:val="36"/>
        </w:rPr>
        <w:t>中小企业声明函（服务）</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本公司（联合体）郑重声明，根据《政府采购促进中小企业发展管理办法》（财库﹝2020﹞46 号）的规定，本公司（联合体）参加</w:t>
      </w:r>
      <w:r>
        <w:rPr>
          <w:rFonts w:hint="eastAsia" w:ascii="宋体" w:hAnsi="宋体" w:cs="宋体"/>
          <w:spacing w:val="6"/>
          <w:sz w:val="24"/>
          <w:szCs w:val="24"/>
          <w:u w:val="single"/>
        </w:rPr>
        <w:t>（单位名称）</w:t>
      </w:r>
      <w:r>
        <w:rPr>
          <w:rFonts w:hint="eastAsia" w:ascii="宋体" w:hAnsi="宋体" w:cs="宋体"/>
          <w:spacing w:val="6"/>
          <w:sz w:val="24"/>
          <w:szCs w:val="24"/>
        </w:rPr>
        <w:t>的</w:t>
      </w:r>
      <w:r>
        <w:rPr>
          <w:rFonts w:hint="eastAsia" w:ascii="宋体" w:hAnsi="宋体" w:cs="宋体"/>
          <w:spacing w:val="6"/>
          <w:sz w:val="24"/>
          <w:szCs w:val="24"/>
          <w:u w:val="single"/>
        </w:rPr>
        <w:t>（项目名称）</w:t>
      </w:r>
      <w:r>
        <w:rPr>
          <w:rFonts w:hint="eastAsia" w:ascii="宋体" w:hAnsi="宋体" w:cs="宋体"/>
          <w:spacing w:val="6"/>
          <w:sz w:val="24"/>
          <w:szCs w:val="24"/>
        </w:rPr>
        <w:t>采购活动，服务全部由符合政策要求的中小企业承接。相关企业（含联合体中的中小企业、签订分包意向协议的中小企业）的具体情况如下：</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1.</w:t>
      </w:r>
      <w:r>
        <w:rPr>
          <w:rFonts w:hint="eastAsia" w:ascii="宋体" w:hAnsi="宋体" w:cs="宋体"/>
          <w:spacing w:val="6"/>
          <w:sz w:val="24"/>
          <w:szCs w:val="24"/>
          <w:u w:val="single"/>
        </w:rPr>
        <w:t xml:space="preserve"> （标的名称） </w:t>
      </w:r>
      <w:r>
        <w:rPr>
          <w:rFonts w:hint="eastAsia" w:ascii="宋体" w:hAnsi="宋体" w:cs="宋体"/>
          <w:spacing w:val="6"/>
          <w:sz w:val="24"/>
          <w:szCs w:val="24"/>
        </w:rPr>
        <w:t>，属于</w:t>
      </w:r>
      <w:r>
        <w:rPr>
          <w:rFonts w:hint="eastAsia" w:ascii="宋体" w:hAnsi="宋体" w:cs="宋体"/>
          <w:spacing w:val="6"/>
          <w:sz w:val="24"/>
          <w:szCs w:val="24"/>
          <w:u w:val="single"/>
        </w:rPr>
        <w:t xml:space="preserve"> 其他未列明行业（水利、环境和公共设施管理业） </w:t>
      </w:r>
      <w:r>
        <w:rPr>
          <w:rFonts w:hint="eastAsia" w:ascii="宋体" w:hAnsi="宋体" w:cs="宋体"/>
          <w:spacing w:val="6"/>
          <w:sz w:val="24"/>
          <w:szCs w:val="24"/>
        </w:rPr>
        <w:t>；承建（承接）企业为</w:t>
      </w:r>
      <w:r>
        <w:rPr>
          <w:rFonts w:hint="eastAsia" w:ascii="宋体" w:hAnsi="宋体" w:cs="宋体"/>
          <w:spacing w:val="6"/>
          <w:sz w:val="24"/>
          <w:szCs w:val="24"/>
          <w:u w:val="single"/>
        </w:rPr>
        <w:t>（企业名称）</w:t>
      </w:r>
      <w:r>
        <w:rPr>
          <w:rFonts w:hint="eastAsia" w:ascii="宋体" w:hAnsi="宋体" w:cs="宋体"/>
          <w:spacing w:val="6"/>
          <w:sz w:val="24"/>
          <w:szCs w:val="24"/>
        </w:rPr>
        <w:t>，从业人员</w:t>
      </w:r>
      <w:r>
        <w:rPr>
          <w:rFonts w:hint="eastAsia" w:ascii="宋体" w:hAnsi="宋体" w:cs="宋体"/>
          <w:spacing w:val="6"/>
          <w:sz w:val="24"/>
          <w:szCs w:val="24"/>
          <w:u w:val="single"/>
        </w:rPr>
        <w:t xml:space="preserve">     </w:t>
      </w:r>
      <w:r>
        <w:rPr>
          <w:rFonts w:hint="eastAsia" w:ascii="宋体" w:hAnsi="宋体" w:cs="宋体"/>
          <w:spacing w:val="6"/>
          <w:sz w:val="24"/>
          <w:szCs w:val="24"/>
        </w:rPr>
        <w:t>人，营业收入为</w:t>
      </w:r>
      <w:r>
        <w:rPr>
          <w:rFonts w:hint="eastAsia" w:ascii="宋体" w:hAnsi="宋体" w:cs="宋体"/>
          <w:spacing w:val="6"/>
          <w:sz w:val="24"/>
          <w:szCs w:val="24"/>
          <w:u w:val="single"/>
        </w:rPr>
        <w:t xml:space="preserve">     </w:t>
      </w:r>
      <w:r>
        <w:rPr>
          <w:rFonts w:hint="eastAsia" w:ascii="宋体" w:hAnsi="宋体" w:cs="宋体"/>
          <w:spacing w:val="6"/>
          <w:sz w:val="24"/>
          <w:szCs w:val="24"/>
        </w:rPr>
        <w:t>万元，资产总额为</w:t>
      </w:r>
      <w:r>
        <w:rPr>
          <w:rFonts w:hint="eastAsia" w:ascii="宋体" w:hAnsi="宋体" w:cs="宋体"/>
          <w:spacing w:val="6"/>
          <w:sz w:val="24"/>
          <w:szCs w:val="24"/>
          <w:u w:val="single"/>
        </w:rPr>
        <w:t xml:space="preserve">    </w:t>
      </w:r>
      <w:r>
        <w:rPr>
          <w:rFonts w:hint="eastAsia" w:ascii="宋体" w:hAnsi="宋体" w:cs="宋体"/>
          <w:spacing w:val="6"/>
          <w:sz w:val="24"/>
          <w:szCs w:val="24"/>
        </w:rPr>
        <w:t>万元</w:t>
      </w:r>
      <w:r>
        <w:rPr>
          <w:rFonts w:ascii="Calibri" w:hAnsi="Calibri" w:cs="Calibri"/>
          <w:color w:val="000000"/>
          <w:kern w:val="0"/>
          <w:sz w:val="16"/>
          <w:szCs w:val="16"/>
        </w:rPr>
        <w:t>①</w:t>
      </w:r>
      <w:r>
        <w:rPr>
          <w:rFonts w:hint="eastAsia" w:ascii="宋体" w:hAnsi="宋体" w:cs="宋体"/>
          <w:spacing w:val="6"/>
          <w:sz w:val="24"/>
          <w:szCs w:val="24"/>
        </w:rPr>
        <w:t>，属于</w:t>
      </w:r>
      <w:r>
        <w:rPr>
          <w:rFonts w:hint="eastAsia" w:ascii="宋体" w:hAnsi="宋体" w:cs="宋体"/>
          <w:spacing w:val="6"/>
          <w:sz w:val="24"/>
          <w:szCs w:val="24"/>
          <w:u w:val="single"/>
        </w:rPr>
        <w:t>（中型企业、小型企业、微型企业）</w:t>
      </w:r>
      <w:r>
        <w:rPr>
          <w:rFonts w:hint="eastAsia" w:ascii="宋体" w:hAnsi="宋体" w:cs="宋体"/>
          <w:spacing w:val="6"/>
          <w:sz w:val="24"/>
          <w:szCs w:val="24"/>
        </w:rPr>
        <w:t xml:space="preserve">； </w:t>
      </w:r>
    </w:p>
    <w:p>
      <w:pPr>
        <w:spacing w:line="588" w:lineRule="exact"/>
        <w:rPr>
          <w:rFonts w:ascii="宋体" w:hAnsi="宋体" w:cs="宋体"/>
          <w:spacing w:val="6"/>
          <w:sz w:val="24"/>
          <w:szCs w:val="24"/>
        </w:rPr>
      </w:pPr>
      <w:r>
        <w:rPr>
          <w:rFonts w:hint="eastAsia" w:ascii="宋体" w:hAnsi="宋体" w:cs="宋体"/>
          <w:spacing w:val="6"/>
          <w:sz w:val="24"/>
          <w:szCs w:val="24"/>
        </w:rPr>
        <w:t>……</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以上企业，不属于大企业的分支机构，不存在控股股东为大企业的情形，也不存在与大企业的负责人为同一人的情形。</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 xml:space="preserve">本企业对上述声明内容的真实性负责。如有虚假，将依法承担相应责任。 </w:t>
      </w:r>
    </w:p>
    <w:p>
      <w:pPr>
        <w:spacing w:line="588" w:lineRule="exact"/>
        <w:ind w:firstLine="504" w:firstLineChars="200"/>
        <w:rPr>
          <w:rFonts w:ascii="宋体" w:hAnsi="宋体" w:cs="宋体"/>
          <w:spacing w:val="6"/>
          <w:sz w:val="24"/>
          <w:szCs w:val="24"/>
        </w:rPr>
      </w:pP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 xml:space="preserve">企业名称（盖章）： </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 xml:space="preserve">日 期： </w:t>
      </w:r>
    </w:p>
    <w:p>
      <w:pPr>
        <w:widowControl/>
        <w:jc w:val="left"/>
        <w:rPr>
          <w:color w:val="000000"/>
          <w:kern w:val="0"/>
          <w:sz w:val="10"/>
          <w:szCs w:val="10"/>
        </w:rPr>
      </w:pPr>
    </w:p>
    <w:p>
      <w:pPr>
        <w:widowControl/>
        <w:jc w:val="left"/>
        <w:rPr>
          <w:color w:val="000000"/>
          <w:kern w:val="0"/>
          <w:sz w:val="10"/>
          <w:szCs w:val="10"/>
        </w:rPr>
      </w:pPr>
    </w:p>
    <w:p>
      <w:pPr>
        <w:widowControl/>
        <w:jc w:val="left"/>
        <w:rPr>
          <w:rFonts w:ascii="宋体" w:hAnsi="宋体" w:cs="宋体"/>
          <w:color w:val="000000"/>
          <w:kern w:val="0"/>
          <w:sz w:val="16"/>
          <w:szCs w:val="16"/>
        </w:rPr>
        <w:sectPr>
          <w:headerReference r:id="rId7" w:type="default"/>
          <w:footerReference r:id="rId8" w:type="default"/>
          <w:pgSz w:w="11906" w:h="16838"/>
          <w:pgMar w:top="1361" w:right="1644" w:bottom="1361" w:left="1644" w:header="851" w:footer="964" w:gutter="0"/>
          <w:pgNumType w:fmt="numberInDash"/>
          <w:cols w:space="425" w:num="1"/>
          <w:docGrid w:type="lines" w:linePitch="312" w:charSpace="0"/>
        </w:sectPr>
      </w:pPr>
      <w:r>
        <w:rPr>
          <w:rFonts w:ascii="Calibri" w:hAnsi="Calibri" w:cs="Calibri"/>
          <w:color w:val="000000"/>
          <w:kern w:val="0"/>
          <w:sz w:val="16"/>
          <w:szCs w:val="16"/>
        </w:rPr>
        <w:t>①</w:t>
      </w:r>
      <w:r>
        <w:rPr>
          <w:rFonts w:hint="eastAsia" w:ascii="宋体" w:hAnsi="宋体" w:cs="宋体"/>
          <w:color w:val="000000"/>
          <w:kern w:val="0"/>
          <w:sz w:val="16"/>
          <w:szCs w:val="16"/>
        </w:rPr>
        <w:t>从业人员、营业收入、资产总额填报上一年度数据，无上一年度数据的新成立企业可不填报。</w:t>
      </w:r>
    </w:p>
    <w:tbl>
      <w:tblPr>
        <w:tblStyle w:val="20"/>
        <w:tblW w:w="14800" w:type="dxa"/>
        <w:tblInd w:w="-176" w:type="dxa"/>
        <w:tblLayout w:type="fixed"/>
        <w:tblCellMar>
          <w:top w:w="0" w:type="dxa"/>
          <w:left w:w="108" w:type="dxa"/>
          <w:bottom w:w="0" w:type="dxa"/>
          <w:right w:w="108" w:type="dxa"/>
        </w:tblCellMar>
      </w:tblPr>
      <w:tblGrid>
        <w:gridCol w:w="1968"/>
        <w:gridCol w:w="1441"/>
        <w:gridCol w:w="1790"/>
        <w:gridCol w:w="1647"/>
        <w:gridCol w:w="1321"/>
        <w:gridCol w:w="1623"/>
        <w:gridCol w:w="1664"/>
        <w:gridCol w:w="1036"/>
        <w:gridCol w:w="1255"/>
        <w:gridCol w:w="1055"/>
      </w:tblGrid>
      <w:tr>
        <w:tblPrEx>
          <w:tblCellMar>
            <w:top w:w="0" w:type="dxa"/>
            <w:left w:w="108" w:type="dxa"/>
            <w:bottom w:w="0" w:type="dxa"/>
            <w:right w:w="108" w:type="dxa"/>
          </w:tblCellMar>
        </w:tblPrEx>
        <w:trPr>
          <w:trHeight w:val="112" w:hRule="atLeast"/>
        </w:trPr>
        <w:tc>
          <w:tcPr>
            <w:tcW w:w="14800" w:type="dxa"/>
            <w:gridSpan w:val="10"/>
            <w:tcBorders>
              <w:top w:val="nil"/>
              <w:left w:val="nil"/>
              <w:bottom w:val="nil"/>
              <w:right w:val="nil"/>
            </w:tcBorders>
            <w:vAlign w:val="bottom"/>
          </w:tcPr>
          <w:p>
            <w:pPr>
              <w:widowControl/>
              <w:jc w:val="center"/>
              <w:rPr>
                <w:rFonts w:ascii="宋体" w:hAnsi="宋体" w:cs="宋体"/>
                <w:b/>
                <w:bCs/>
                <w:kern w:val="0"/>
                <w:sz w:val="32"/>
                <w:szCs w:val="32"/>
              </w:rPr>
            </w:pPr>
            <w:r>
              <w:rPr>
                <w:rFonts w:hint="eastAsia" w:ascii="宋体" w:hAnsi="宋体" w:cs="宋体"/>
                <w:b/>
                <w:bCs/>
                <w:kern w:val="0"/>
                <w:sz w:val="24"/>
              </w:rPr>
              <w:t>中小微行业划型标准规定（根据工信部联企业〔2011〕300号制定）</w:t>
            </w:r>
          </w:p>
        </w:tc>
      </w:tr>
      <w:tr>
        <w:tblPrEx>
          <w:tblCellMar>
            <w:top w:w="0" w:type="dxa"/>
            <w:left w:w="108" w:type="dxa"/>
            <w:bottom w:w="0" w:type="dxa"/>
            <w:right w:w="108" w:type="dxa"/>
          </w:tblCellMar>
        </w:tblPrEx>
        <w:trPr>
          <w:trHeight w:val="120" w:hRule="atLeast"/>
        </w:trPr>
        <w:tc>
          <w:tcPr>
            <w:tcW w:w="1968" w:type="dxa"/>
            <w:vMerge w:val="restart"/>
            <w:tcBorders>
              <w:top w:val="single" w:color="auto" w:sz="8" w:space="0"/>
              <w:left w:val="single" w:color="auto" w:sz="8" w:space="0"/>
              <w:bottom w:val="single" w:color="000000" w:sz="4" w:space="0"/>
              <w:right w:val="single" w:color="auto" w:sz="8" w:space="0"/>
            </w:tcBorders>
            <w:vAlign w:val="center"/>
          </w:tcPr>
          <w:p>
            <w:pPr>
              <w:widowControl/>
              <w:jc w:val="center"/>
              <w:rPr>
                <w:rFonts w:ascii="宋体" w:hAnsi="宋体" w:cs="宋体"/>
                <w:b/>
                <w:bCs/>
                <w:kern w:val="0"/>
                <w:sz w:val="24"/>
              </w:rPr>
            </w:pPr>
            <w:r>
              <w:rPr>
                <w:rFonts w:hint="eastAsia" w:ascii="宋体" w:hAnsi="宋体" w:cs="宋体"/>
                <w:b/>
                <w:bCs/>
                <w:kern w:val="0"/>
                <w:sz w:val="24"/>
              </w:rPr>
              <w:t>行业</w:t>
            </w:r>
          </w:p>
        </w:tc>
        <w:tc>
          <w:tcPr>
            <w:tcW w:w="4878"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kern w:val="0"/>
                <w:sz w:val="24"/>
              </w:rPr>
            </w:pPr>
            <w:r>
              <w:rPr>
                <w:rFonts w:hint="eastAsia" w:ascii="宋体" w:hAnsi="宋体" w:cs="宋体"/>
                <w:b/>
                <w:bCs/>
                <w:kern w:val="0"/>
                <w:sz w:val="24"/>
              </w:rPr>
              <w:t>中型企业</w:t>
            </w:r>
          </w:p>
        </w:tc>
        <w:tc>
          <w:tcPr>
            <w:tcW w:w="4608"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kern w:val="0"/>
                <w:sz w:val="24"/>
              </w:rPr>
            </w:pPr>
            <w:r>
              <w:rPr>
                <w:rFonts w:hint="eastAsia" w:ascii="宋体" w:hAnsi="宋体" w:cs="宋体"/>
                <w:b/>
                <w:bCs/>
                <w:kern w:val="0"/>
                <w:sz w:val="24"/>
              </w:rPr>
              <w:t>小型企业</w:t>
            </w:r>
          </w:p>
        </w:tc>
        <w:tc>
          <w:tcPr>
            <w:tcW w:w="3346"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kern w:val="0"/>
                <w:sz w:val="24"/>
              </w:rPr>
            </w:pPr>
            <w:r>
              <w:rPr>
                <w:rFonts w:hint="eastAsia" w:ascii="宋体" w:hAnsi="宋体" w:cs="宋体"/>
                <w:b/>
                <w:bCs/>
                <w:kern w:val="0"/>
                <w:sz w:val="24"/>
              </w:rPr>
              <w:t>微型企业</w:t>
            </w:r>
          </w:p>
        </w:tc>
      </w:tr>
      <w:tr>
        <w:tblPrEx>
          <w:tblCellMar>
            <w:top w:w="0" w:type="dxa"/>
            <w:left w:w="108" w:type="dxa"/>
            <w:bottom w:w="0" w:type="dxa"/>
            <w:right w:w="108" w:type="dxa"/>
          </w:tblCellMar>
        </w:tblPrEx>
        <w:trPr>
          <w:trHeight w:val="232" w:hRule="atLeast"/>
        </w:trPr>
        <w:tc>
          <w:tcPr>
            <w:tcW w:w="1968" w:type="dxa"/>
            <w:vMerge w:val="continue"/>
            <w:tcBorders>
              <w:top w:val="single" w:color="auto" w:sz="8" w:space="0"/>
              <w:left w:val="single" w:color="auto" w:sz="8" w:space="0"/>
              <w:bottom w:val="single" w:color="000000" w:sz="4" w:space="0"/>
              <w:right w:val="single" w:color="auto" w:sz="8" w:space="0"/>
            </w:tcBorders>
            <w:vAlign w:val="center"/>
          </w:tcPr>
          <w:p>
            <w:pPr>
              <w:widowControl/>
              <w:jc w:val="left"/>
              <w:rPr>
                <w:rFonts w:ascii="宋体" w:hAnsi="宋体" w:cs="宋体"/>
                <w:b/>
                <w:bCs/>
                <w:kern w:val="0"/>
                <w:sz w:val="24"/>
              </w:rPr>
            </w:pPr>
          </w:p>
        </w:tc>
        <w:tc>
          <w:tcPr>
            <w:tcW w:w="1441"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从业人员X（人）</w:t>
            </w:r>
          </w:p>
        </w:tc>
        <w:tc>
          <w:tcPr>
            <w:tcW w:w="1790"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营业收入Y</w:t>
            </w:r>
          </w:p>
          <w:p>
            <w:pPr>
              <w:widowControl/>
              <w:jc w:val="center"/>
              <w:rPr>
                <w:rFonts w:ascii="宋体" w:hAnsi="宋体" w:cs="宋体"/>
                <w:kern w:val="0"/>
                <w:sz w:val="20"/>
              </w:rPr>
            </w:pPr>
            <w:r>
              <w:rPr>
                <w:rFonts w:hint="eastAsia" w:ascii="宋体" w:hAnsi="宋体" w:cs="宋体"/>
                <w:kern w:val="0"/>
                <w:sz w:val="20"/>
              </w:rPr>
              <w:t>（万元）</w:t>
            </w:r>
          </w:p>
        </w:tc>
        <w:tc>
          <w:tcPr>
            <w:tcW w:w="1647" w:type="dxa"/>
            <w:tcBorders>
              <w:top w:val="nil"/>
              <w:left w:val="nil"/>
              <w:bottom w:val="single" w:color="auto" w:sz="4" w:space="0"/>
              <w:right w:val="single" w:color="auto" w:sz="8" w:space="0"/>
            </w:tcBorders>
            <w:vAlign w:val="bottom"/>
          </w:tcPr>
          <w:p>
            <w:pPr>
              <w:widowControl/>
              <w:jc w:val="center"/>
              <w:rPr>
                <w:rFonts w:ascii="宋体" w:hAnsi="宋体" w:cs="宋体"/>
                <w:kern w:val="0"/>
                <w:sz w:val="20"/>
              </w:rPr>
            </w:pPr>
            <w:r>
              <w:rPr>
                <w:rFonts w:hint="eastAsia" w:ascii="宋体" w:hAnsi="宋体" w:cs="宋体"/>
                <w:kern w:val="0"/>
                <w:sz w:val="20"/>
              </w:rPr>
              <w:t>资产总额Z</w:t>
            </w:r>
          </w:p>
          <w:p>
            <w:pPr>
              <w:widowControl/>
              <w:jc w:val="center"/>
              <w:rPr>
                <w:rFonts w:ascii="宋体" w:hAnsi="宋体" w:cs="宋体"/>
                <w:kern w:val="0"/>
                <w:sz w:val="20"/>
              </w:rPr>
            </w:pPr>
            <w:r>
              <w:rPr>
                <w:rFonts w:hint="eastAsia" w:ascii="宋体" w:hAnsi="宋体" w:cs="宋体"/>
                <w:kern w:val="0"/>
                <w:sz w:val="20"/>
              </w:rPr>
              <w:t>（万元）</w:t>
            </w:r>
          </w:p>
        </w:tc>
        <w:tc>
          <w:tcPr>
            <w:tcW w:w="1321"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从业人员X（人）</w:t>
            </w:r>
          </w:p>
        </w:tc>
        <w:tc>
          <w:tcPr>
            <w:tcW w:w="1623"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营业收入Y</w:t>
            </w:r>
          </w:p>
          <w:p>
            <w:pPr>
              <w:widowControl/>
              <w:jc w:val="center"/>
              <w:rPr>
                <w:rFonts w:ascii="宋体" w:hAnsi="宋体" w:cs="宋体"/>
                <w:kern w:val="0"/>
                <w:sz w:val="20"/>
              </w:rPr>
            </w:pPr>
            <w:r>
              <w:rPr>
                <w:rFonts w:hint="eastAsia" w:ascii="宋体" w:hAnsi="宋体" w:cs="宋体"/>
                <w:kern w:val="0"/>
                <w:sz w:val="20"/>
              </w:rPr>
              <w:t>（万元）</w:t>
            </w:r>
          </w:p>
        </w:tc>
        <w:tc>
          <w:tcPr>
            <w:tcW w:w="1664" w:type="dxa"/>
            <w:tcBorders>
              <w:top w:val="nil"/>
              <w:left w:val="nil"/>
              <w:bottom w:val="single" w:color="auto" w:sz="4" w:space="0"/>
              <w:right w:val="single" w:color="auto" w:sz="8" w:space="0"/>
            </w:tcBorders>
            <w:vAlign w:val="bottom"/>
          </w:tcPr>
          <w:p>
            <w:pPr>
              <w:widowControl/>
              <w:jc w:val="center"/>
              <w:rPr>
                <w:rFonts w:ascii="宋体" w:hAnsi="宋体" w:cs="宋体"/>
                <w:kern w:val="0"/>
                <w:sz w:val="20"/>
              </w:rPr>
            </w:pPr>
            <w:r>
              <w:rPr>
                <w:rFonts w:hint="eastAsia" w:ascii="宋体" w:hAnsi="宋体" w:cs="宋体"/>
                <w:kern w:val="0"/>
                <w:sz w:val="20"/>
              </w:rPr>
              <w:t>资产总额Z</w:t>
            </w:r>
          </w:p>
          <w:p>
            <w:pPr>
              <w:widowControl/>
              <w:jc w:val="center"/>
              <w:rPr>
                <w:rFonts w:ascii="宋体" w:hAnsi="宋体" w:cs="宋体"/>
                <w:kern w:val="0"/>
                <w:sz w:val="20"/>
              </w:rPr>
            </w:pPr>
            <w:r>
              <w:rPr>
                <w:rFonts w:hint="eastAsia" w:ascii="宋体" w:hAnsi="宋体" w:cs="宋体"/>
                <w:kern w:val="0"/>
                <w:sz w:val="20"/>
              </w:rPr>
              <w:t>（万元）</w:t>
            </w:r>
          </w:p>
        </w:tc>
        <w:tc>
          <w:tcPr>
            <w:tcW w:w="1036"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从业人员X（人）</w:t>
            </w:r>
          </w:p>
        </w:tc>
        <w:tc>
          <w:tcPr>
            <w:tcW w:w="1255"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营业收入Y（万元）</w:t>
            </w:r>
          </w:p>
        </w:tc>
        <w:tc>
          <w:tcPr>
            <w:tcW w:w="1055" w:type="dxa"/>
            <w:tcBorders>
              <w:top w:val="nil"/>
              <w:left w:val="nil"/>
              <w:bottom w:val="single" w:color="auto" w:sz="4" w:space="0"/>
              <w:right w:val="single" w:color="auto" w:sz="8" w:space="0"/>
            </w:tcBorders>
            <w:vAlign w:val="bottom"/>
          </w:tcPr>
          <w:p>
            <w:pPr>
              <w:widowControl/>
              <w:jc w:val="center"/>
              <w:rPr>
                <w:rFonts w:ascii="宋体" w:hAnsi="宋体" w:cs="宋体"/>
                <w:kern w:val="0"/>
                <w:sz w:val="20"/>
              </w:rPr>
            </w:pPr>
            <w:r>
              <w:rPr>
                <w:rFonts w:hint="eastAsia" w:ascii="宋体" w:hAnsi="宋体" w:cs="宋体"/>
                <w:kern w:val="0"/>
                <w:sz w:val="20"/>
              </w:rPr>
              <w:t>资产总额Z（万元）</w:t>
            </w:r>
          </w:p>
        </w:tc>
      </w:tr>
      <w:tr>
        <w:tblPrEx>
          <w:tblCellMar>
            <w:top w:w="0" w:type="dxa"/>
            <w:left w:w="108" w:type="dxa"/>
            <w:bottom w:w="0" w:type="dxa"/>
            <w:right w:w="108" w:type="dxa"/>
          </w:tblCellMar>
        </w:tblPrEx>
        <w:trPr>
          <w:trHeight w:val="116" w:hRule="atLeast"/>
        </w:trPr>
        <w:tc>
          <w:tcPr>
            <w:tcW w:w="1968" w:type="dxa"/>
            <w:tcBorders>
              <w:top w:val="nil"/>
              <w:left w:val="single" w:color="auto" w:sz="8" w:space="0"/>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xml:space="preserve"> 1、农林牧渔业</w:t>
            </w:r>
          </w:p>
        </w:tc>
        <w:tc>
          <w:tcPr>
            <w:tcW w:w="144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79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xml:space="preserve"> 500≤Y＜20000</w:t>
            </w:r>
          </w:p>
        </w:tc>
        <w:tc>
          <w:tcPr>
            <w:tcW w:w="1647"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32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62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xml:space="preserve"> 50≤Y＜500</w:t>
            </w:r>
          </w:p>
        </w:tc>
        <w:tc>
          <w:tcPr>
            <w:tcW w:w="1664"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036"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Y＜50</w:t>
            </w:r>
          </w:p>
        </w:tc>
        <w:tc>
          <w:tcPr>
            <w:tcW w:w="1055"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116" w:hRule="atLeast"/>
        </w:trPr>
        <w:tc>
          <w:tcPr>
            <w:tcW w:w="1968" w:type="dxa"/>
            <w:tcBorders>
              <w:top w:val="nil"/>
              <w:left w:val="single" w:color="auto" w:sz="8" w:space="0"/>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xml:space="preserve"> 2、工业</w:t>
            </w:r>
          </w:p>
        </w:tc>
        <w:tc>
          <w:tcPr>
            <w:tcW w:w="144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300≤X＜1000</w:t>
            </w:r>
          </w:p>
        </w:tc>
        <w:tc>
          <w:tcPr>
            <w:tcW w:w="179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2000≤Y＜40000</w:t>
            </w:r>
          </w:p>
        </w:tc>
        <w:tc>
          <w:tcPr>
            <w:tcW w:w="1647"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32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20≤X＜300</w:t>
            </w:r>
          </w:p>
        </w:tc>
        <w:tc>
          <w:tcPr>
            <w:tcW w:w="162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300≤Y＜2000</w:t>
            </w:r>
          </w:p>
        </w:tc>
        <w:tc>
          <w:tcPr>
            <w:tcW w:w="1664"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036"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X＜20</w:t>
            </w:r>
          </w:p>
        </w:tc>
        <w:tc>
          <w:tcPr>
            <w:tcW w:w="125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Y＜300</w:t>
            </w:r>
          </w:p>
        </w:tc>
        <w:tc>
          <w:tcPr>
            <w:tcW w:w="1055"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80" w:hRule="atLeast"/>
        </w:trPr>
        <w:tc>
          <w:tcPr>
            <w:tcW w:w="1968" w:type="dxa"/>
            <w:tcBorders>
              <w:top w:val="nil"/>
              <w:left w:val="single" w:color="auto" w:sz="8" w:space="0"/>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xml:space="preserve"> 3、建筑业</w:t>
            </w:r>
          </w:p>
        </w:tc>
        <w:tc>
          <w:tcPr>
            <w:tcW w:w="144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79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6000≤Y＜80000</w:t>
            </w:r>
          </w:p>
        </w:tc>
        <w:tc>
          <w:tcPr>
            <w:tcW w:w="1647"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5000≤Z＜80000</w:t>
            </w:r>
          </w:p>
        </w:tc>
        <w:tc>
          <w:tcPr>
            <w:tcW w:w="132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62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300≤Y＜6000</w:t>
            </w:r>
          </w:p>
        </w:tc>
        <w:tc>
          <w:tcPr>
            <w:tcW w:w="1664"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300≤Z＜5000</w:t>
            </w:r>
          </w:p>
        </w:tc>
        <w:tc>
          <w:tcPr>
            <w:tcW w:w="1036"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Y＜300</w:t>
            </w:r>
          </w:p>
        </w:tc>
        <w:tc>
          <w:tcPr>
            <w:tcW w:w="1055"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Z＜300</w:t>
            </w:r>
          </w:p>
        </w:tc>
      </w:tr>
      <w:tr>
        <w:tblPrEx>
          <w:tblCellMar>
            <w:top w:w="0" w:type="dxa"/>
            <w:left w:w="108" w:type="dxa"/>
            <w:bottom w:w="0" w:type="dxa"/>
            <w:right w:w="108" w:type="dxa"/>
          </w:tblCellMar>
        </w:tblPrEx>
        <w:trPr>
          <w:trHeight w:val="228" w:hRule="atLeast"/>
        </w:trPr>
        <w:tc>
          <w:tcPr>
            <w:tcW w:w="1968" w:type="dxa"/>
            <w:tcBorders>
              <w:top w:val="nil"/>
              <w:left w:val="single" w:color="auto" w:sz="8" w:space="0"/>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xml:space="preserve"> 4、批发业</w:t>
            </w:r>
          </w:p>
        </w:tc>
        <w:tc>
          <w:tcPr>
            <w:tcW w:w="144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xml:space="preserve"> 20≤X＜200</w:t>
            </w:r>
          </w:p>
        </w:tc>
        <w:tc>
          <w:tcPr>
            <w:tcW w:w="179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5000≤Y＜40000</w:t>
            </w:r>
          </w:p>
        </w:tc>
        <w:tc>
          <w:tcPr>
            <w:tcW w:w="1647"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32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xml:space="preserve"> 5≤X＜20</w:t>
            </w:r>
          </w:p>
        </w:tc>
        <w:tc>
          <w:tcPr>
            <w:tcW w:w="162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1000≤Y＜5000</w:t>
            </w:r>
          </w:p>
        </w:tc>
        <w:tc>
          <w:tcPr>
            <w:tcW w:w="1664"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036"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X＜5</w:t>
            </w:r>
          </w:p>
        </w:tc>
        <w:tc>
          <w:tcPr>
            <w:tcW w:w="125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Y＜1000</w:t>
            </w:r>
          </w:p>
        </w:tc>
        <w:tc>
          <w:tcPr>
            <w:tcW w:w="1055"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116" w:hRule="atLeast"/>
        </w:trPr>
        <w:tc>
          <w:tcPr>
            <w:tcW w:w="1968" w:type="dxa"/>
            <w:tcBorders>
              <w:top w:val="nil"/>
              <w:left w:val="single" w:color="auto" w:sz="8" w:space="0"/>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xml:space="preserve"> 5、零售业</w:t>
            </w:r>
          </w:p>
        </w:tc>
        <w:tc>
          <w:tcPr>
            <w:tcW w:w="144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xml:space="preserve"> 50≤X＜300</w:t>
            </w:r>
          </w:p>
        </w:tc>
        <w:tc>
          <w:tcPr>
            <w:tcW w:w="179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xml:space="preserve"> 500≤Y＜20000</w:t>
            </w:r>
          </w:p>
        </w:tc>
        <w:tc>
          <w:tcPr>
            <w:tcW w:w="1647"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32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10≤X＜50</w:t>
            </w:r>
          </w:p>
        </w:tc>
        <w:tc>
          <w:tcPr>
            <w:tcW w:w="162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100≤Y＜500</w:t>
            </w:r>
          </w:p>
        </w:tc>
        <w:tc>
          <w:tcPr>
            <w:tcW w:w="1664"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036"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X＜10</w:t>
            </w:r>
          </w:p>
        </w:tc>
        <w:tc>
          <w:tcPr>
            <w:tcW w:w="125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Y＜100</w:t>
            </w:r>
          </w:p>
        </w:tc>
        <w:tc>
          <w:tcPr>
            <w:tcW w:w="1055"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116" w:hRule="atLeast"/>
        </w:trPr>
        <w:tc>
          <w:tcPr>
            <w:tcW w:w="1968" w:type="dxa"/>
            <w:tcBorders>
              <w:top w:val="nil"/>
              <w:left w:val="single" w:color="auto" w:sz="8" w:space="0"/>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xml:space="preserve"> 6、交通运输业</w:t>
            </w:r>
          </w:p>
        </w:tc>
        <w:tc>
          <w:tcPr>
            <w:tcW w:w="144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300≤X＜1000</w:t>
            </w:r>
          </w:p>
        </w:tc>
        <w:tc>
          <w:tcPr>
            <w:tcW w:w="179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3000≤Y＜30000</w:t>
            </w:r>
          </w:p>
        </w:tc>
        <w:tc>
          <w:tcPr>
            <w:tcW w:w="1647"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32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20≤X＜300</w:t>
            </w:r>
          </w:p>
        </w:tc>
        <w:tc>
          <w:tcPr>
            <w:tcW w:w="162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200≤Y＜3000</w:t>
            </w:r>
          </w:p>
        </w:tc>
        <w:tc>
          <w:tcPr>
            <w:tcW w:w="1664"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036"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X＜20</w:t>
            </w:r>
          </w:p>
        </w:tc>
        <w:tc>
          <w:tcPr>
            <w:tcW w:w="125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V＜200</w:t>
            </w:r>
          </w:p>
        </w:tc>
        <w:tc>
          <w:tcPr>
            <w:tcW w:w="1055"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116" w:hRule="atLeast"/>
        </w:trPr>
        <w:tc>
          <w:tcPr>
            <w:tcW w:w="1968" w:type="dxa"/>
            <w:tcBorders>
              <w:top w:val="nil"/>
              <w:left w:val="single" w:color="auto" w:sz="8" w:space="0"/>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xml:space="preserve"> 7、仓储业</w:t>
            </w:r>
          </w:p>
        </w:tc>
        <w:tc>
          <w:tcPr>
            <w:tcW w:w="144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100≤X＜200</w:t>
            </w:r>
          </w:p>
        </w:tc>
        <w:tc>
          <w:tcPr>
            <w:tcW w:w="179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1000≤Y＜30000</w:t>
            </w:r>
          </w:p>
        </w:tc>
        <w:tc>
          <w:tcPr>
            <w:tcW w:w="1647"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32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20≤X＜100</w:t>
            </w:r>
          </w:p>
        </w:tc>
        <w:tc>
          <w:tcPr>
            <w:tcW w:w="162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100≤Y＜1000</w:t>
            </w:r>
          </w:p>
        </w:tc>
        <w:tc>
          <w:tcPr>
            <w:tcW w:w="1664"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036"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X＜20</w:t>
            </w:r>
          </w:p>
        </w:tc>
        <w:tc>
          <w:tcPr>
            <w:tcW w:w="125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Y＜100</w:t>
            </w:r>
          </w:p>
        </w:tc>
        <w:tc>
          <w:tcPr>
            <w:tcW w:w="1055"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116" w:hRule="atLeast"/>
        </w:trPr>
        <w:tc>
          <w:tcPr>
            <w:tcW w:w="1968" w:type="dxa"/>
            <w:tcBorders>
              <w:top w:val="nil"/>
              <w:left w:val="single" w:color="auto" w:sz="8" w:space="0"/>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xml:space="preserve"> 8、邮政业</w:t>
            </w:r>
          </w:p>
        </w:tc>
        <w:tc>
          <w:tcPr>
            <w:tcW w:w="144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300≤X＜1000</w:t>
            </w:r>
          </w:p>
        </w:tc>
        <w:tc>
          <w:tcPr>
            <w:tcW w:w="179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2000≤Y＜30000</w:t>
            </w:r>
          </w:p>
        </w:tc>
        <w:tc>
          <w:tcPr>
            <w:tcW w:w="1647"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32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20≤X＜300</w:t>
            </w:r>
          </w:p>
        </w:tc>
        <w:tc>
          <w:tcPr>
            <w:tcW w:w="162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100≤Y＜2000</w:t>
            </w:r>
          </w:p>
        </w:tc>
        <w:tc>
          <w:tcPr>
            <w:tcW w:w="1664"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036"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X＜20</w:t>
            </w:r>
          </w:p>
        </w:tc>
        <w:tc>
          <w:tcPr>
            <w:tcW w:w="125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Y＜100</w:t>
            </w:r>
          </w:p>
        </w:tc>
        <w:tc>
          <w:tcPr>
            <w:tcW w:w="1055"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116" w:hRule="atLeast"/>
        </w:trPr>
        <w:tc>
          <w:tcPr>
            <w:tcW w:w="1968" w:type="dxa"/>
            <w:tcBorders>
              <w:top w:val="nil"/>
              <w:left w:val="single" w:color="auto" w:sz="8" w:space="0"/>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xml:space="preserve"> 9、住宿业</w:t>
            </w:r>
          </w:p>
        </w:tc>
        <w:tc>
          <w:tcPr>
            <w:tcW w:w="144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100≤X＜300</w:t>
            </w:r>
          </w:p>
        </w:tc>
        <w:tc>
          <w:tcPr>
            <w:tcW w:w="179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2000≤Y＜10000</w:t>
            </w:r>
          </w:p>
        </w:tc>
        <w:tc>
          <w:tcPr>
            <w:tcW w:w="1647"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32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10≤X＜100</w:t>
            </w:r>
          </w:p>
        </w:tc>
        <w:tc>
          <w:tcPr>
            <w:tcW w:w="162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100≤Y＜2000</w:t>
            </w:r>
          </w:p>
        </w:tc>
        <w:tc>
          <w:tcPr>
            <w:tcW w:w="1664"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036"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X＜10</w:t>
            </w:r>
          </w:p>
        </w:tc>
        <w:tc>
          <w:tcPr>
            <w:tcW w:w="125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Y＜100</w:t>
            </w:r>
          </w:p>
        </w:tc>
        <w:tc>
          <w:tcPr>
            <w:tcW w:w="1055"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116" w:hRule="atLeast"/>
        </w:trPr>
        <w:tc>
          <w:tcPr>
            <w:tcW w:w="1968" w:type="dxa"/>
            <w:tcBorders>
              <w:top w:val="nil"/>
              <w:left w:val="single" w:color="auto" w:sz="8" w:space="0"/>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10、餐饮业</w:t>
            </w:r>
          </w:p>
        </w:tc>
        <w:tc>
          <w:tcPr>
            <w:tcW w:w="144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100≤X＜300</w:t>
            </w:r>
          </w:p>
        </w:tc>
        <w:tc>
          <w:tcPr>
            <w:tcW w:w="179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2000≤Y＜10000</w:t>
            </w:r>
          </w:p>
        </w:tc>
        <w:tc>
          <w:tcPr>
            <w:tcW w:w="1647"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32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10≤X＜100</w:t>
            </w:r>
          </w:p>
        </w:tc>
        <w:tc>
          <w:tcPr>
            <w:tcW w:w="162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100≤Y＜2000</w:t>
            </w:r>
          </w:p>
        </w:tc>
        <w:tc>
          <w:tcPr>
            <w:tcW w:w="1664"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036"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X＜10</w:t>
            </w:r>
          </w:p>
        </w:tc>
        <w:tc>
          <w:tcPr>
            <w:tcW w:w="125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V＜100</w:t>
            </w:r>
          </w:p>
        </w:tc>
        <w:tc>
          <w:tcPr>
            <w:tcW w:w="1055"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116" w:hRule="atLeast"/>
        </w:trPr>
        <w:tc>
          <w:tcPr>
            <w:tcW w:w="1968" w:type="dxa"/>
            <w:tcBorders>
              <w:top w:val="nil"/>
              <w:left w:val="single" w:color="auto" w:sz="8" w:space="0"/>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11、信息传输业</w:t>
            </w:r>
          </w:p>
        </w:tc>
        <w:tc>
          <w:tcPr>
            <w:tcW w:w="144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100≤X＜2000</w:t>
            </w:r>
          </w:p>
        </w:tc>
        <w:tc>
          <w:tcPr>
            <w:tcW w:w="179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1000≤Y＜100000</w:t>
            </w:r>
          </w:p>
        </w:tc>
        <w:tc>
          <w:tcPr>
            <w:tcW w:w="1647"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32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10≤X＜100</w:t>
            </w:r>
          </w:p>
        </w:tc>
        <w:tc>
          <w:tcPr>
            <w:tcW w:w="162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100≤Y＜1000</w:t>
            </w:r>
          </w:p>
        </w:tc>
        <w:tc>
          <w:tcPr>
            <w:tcW w:w="1664"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036"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X＜10</w:t>
            </w:r>
          </w:p>
        </w:tc>
        <w:tc>
          <w:tcPr>
            <w:tcW w:w="125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Y＜100</w:t>
            </w:r>
          </w:p>
        </w:tc>
        <w:tc>
          <w:tcPr>
            <w:tcW w:w="1055"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228" w:hRule="atLeast"/>
        </w:trPr>
        <w:tc>
          <w:tcPr>
            <w:tcW w:w="1968" w:type="dxa"/>
            <w:tcBorders>
              <w:top w:val="nil"/>
              <w:left w:val="single" w:color="auto" w:sz="8" w:space="0"/>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12、软件和信息技术服务业</w:t>
            </w:r>
          </w:p>
        </w:tc>
        <w:tc>
          <w:tcPr>
            <w:tcW w:w="1441"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100≤X＜300</w:t>
            </w:r>
          </w:p>
        </w:tc>
        <w:tc>
          <w:tcPr>
            <w:tcW w:w="1790"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1000≤Y＜10000</w:t>
            </w:r>
          </w:p>
        </w:tc>
        <w:tc>
          <w:tcPr>
            <w:tcW w:w="164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321"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10≤X＜100</w:t>
            </w:r>
          </w:p>
        </w:tc>
        <w:tc>
          <w:tcPr>
            <w:tcW w:w="1623"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xml:space="preserve"> 50≤Y＜1000</w:t>
            </w:r>
          </w:p>
        </w:tc>
        <w:tc>
          <w:tcPr>
            <w:tcW w:w="166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036"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X＜10</w:t>
            </w:r>
          </w:p>
        </w:tc>
        <w:tc>
          <w:tcPr>
            <w:tcW w:w="1255"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Y＜50</w:t>
            </w:r>
          </w:p>
        </w:tc>
        <w:tc>
          <w:tcPr>
            <w:tcW w:w="1055"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53" w:hRule="atLeast"/>
        </w:trPr>
        <w:tc>
          <w:tcPr>
            <w:tcW w:w="1968" w:type="dxa"/>
            <w:tcBorders>
              <w:top w:val="nil"/>
              <w:left w:val="single" w:color="auto" w:sz="8" w:space="0"/>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13、房地产开发经营</w:t>
            </w:r>
          </w:p>
        </w:tc>
        <w:tc>
          <w:tcPr>
            <w:tcW w:w="144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79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1000≤Y＜200000</w:t>
            </w:r>
          </w:p>
        </w:tc>
        <w:tc>
          <w:tcPr>
            <w:tcW w:w="1647"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5000≤Z＜10000</w:t>
            </w:r>
          </w:p>
        </w:tc>
        <w:tc>
          <w:tcPr>
            <w:tcW w:w="132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62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100≤Y＜1000</w:t>
            </w:r>
          </w:p>
        </w:tc>
        <w:tc>
          <w:tcPr>
            <w:tcW w:w="1664"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2000≤Z＜5000</w:t>
            </w:r>
          </w:p>
        </w:tc>
        <w:tc>
          <w:tcPr>
            <w:tcW w:w="1036"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25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Y＜100</w:t>
            </w:r>
          </w:p>
        </w:tc>
        <w:tc>
          <w:tcPr>
            <w:tcW w:w="1055"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Z＜2000</w:t>
            </w:r>
          </w:p>
        </w:tc>
      </w:tr>
      <w:tr>
        <w:tblPrEx>
          <w:tblCellMar>
            <w:top w:w="0" w:type="dxa"/>
            <w:left w:w="108" w:type="dxa"/>
            <w:bottom w:w="0" w:type="dxa"/>
            <w:right w:w="108" w:type="dxa"/>
          </w:tblCellMar>
        </w:tblPrEx>
        <w:trPr>
          <w:trHeight w:val="228" w:hRule="atLeast"/>
        </w:trPr>
        <w:tc>
          <w:tcPr>
            <w:tcW w:w="1968" w:type="dxa"/>
            <w:tcBorders>
              <w:top w:val="nil"/>
              <w:left w:val="single" w:color="auto" w:sz="8" w:space="0"/>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14、物业管理</w:t>
            </w:r>
          </w:p>
        </w:tc>
        <w:tc>
          <w:tcPr>
            <w:tcW w:w="144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300≤X＜1000</w:t>
            </w:r>
          </w:p>
        </w:tc>
        <w:tc>
          <w:tcPr>
            <w:tcW w:w="1790"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1000≤Y＜5000</w:t>
            </w:r>
          </w:p>
        </w:tc>
        <w:tc>
          <w:tcPr>
            <w:tcW w:w="1647"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321"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100≤X＜300</w:t>
            </w:r>
          </w:p>
        </w:tc>
        <w:tc>
          <w:tcPr>
            <w:tcW w:w="1623"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500≤Y＜1000</w:t>
            </w:r>
          </w:p>
        </w:tc>
        <w:tc>
          <w:tcPr>
            <w:tcW w:w="1664"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036"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X＜100</w:t>
            </w:r>
          </w:p>
        </w:tc>
        <w:tc>
          <w:tcPr>
            <w:tcW w:w="1255" w:type="dxa"/>
            <w:tcBorders>
              <w:top w:val="nil"/>
              <w:left w:val="nil"/>
              <w:bottom w:val="single" w:color="auto" w:sz="4"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Y＜500</w:t>
            </w:r>
          </w:p>
        </w:tc>
        <w:tc>
          <w:tcPr>
            <w:tcW w:w="1055" w:type="dxa"/>
            <w:tcBorders>
              <w:top w:val="nil"/>
              <w:left w:val="nil"/>
              <w:bottom w:val="single" w:color="auto" w:sz="4"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228" w:hRule="atLeast"/>
        </w:trPr>
        <w:tc>
          <w:tcPr>
            <w:tcW w:w="1968" w:type="dxa"/>
            <w:tcBorders>
              <w:top w:val="nil"/>
              <w:left w:val="single" w:color="auto" w:sz="8" w:space="0"/>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15、租赁和商务服务业</w:t>
            </w:r>
          </w:p>
        </w:tc>
        <w:tc>
          <w:tcPr>
            <w:tcW w:w="1441"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100≤X＜300</w:t>
            </w:r>
          </w:p>
        </w:tc>
        <w:tc>
          <w:tcPr>
            <w:tcW w:w="1790"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64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8000≤Z＜120000</w:t>
            </w:r>
          </w:p>
        </w:tc>
        <w:tc>
          <w:tcPr>
            <w:tcW w:w="1321"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10≤X＜100</w:t>
            </w:r>
          </w:p>
        </w:tc>
        <w:tc>
          <w:tcPr>
            <w:tcW w:w="1623"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66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xml:space="preserve"> 100≤Z＜8000</w:t>
            </w:r>
          </w:p>
        </w:tc>
        <w:tc>
          <w:tcPr>
            <w:tcW w:w="1036"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X＜10</w:t>
            </w:r>
          </w:p>
        </w:tc>
        <w:tc>
          <w:tcPr>
            <w:tcW w:w="1255"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055"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Z＜100</w:t>
            </w:r>
          </w:p>
        </w:tc>
      </w:tr>
      <w:tr>
        <w:tblPrEx>
          <w:tblCellMar>
            <w:top w:w="0" w:type="dxa"/>
            <w:left w:w="108" w:type="dxa"/>
            <w:bottom w:w="0" w:type="dxa"/>
            <w:right w:w="108" w:type="dxa"/>
          </w:tblCellMar>
        </w:tblPrEx>
        <w:trPr>
          <w:trHeight w:val="116" w:hRule="atLeast"/>
        </w:trPr>
        <w:tc>
          <w:tcPr>
            <w:tcW w:w="1968" w:type="dxa"/>
            <w:tcBorders>
              <w:top w:val="nil"/>
              <w:left w:val="single" w:color="auto" w:sz="8" w:space="0"/>
              <w:bottom w:val="single" w:color="auto" w:sz="8"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16、其他未列明行业</w:t>
            </w:r>
          </w:p>
        </w:tc>
        <w:tc>
          <w:tcPr>
            <w:tcW w:w="1441" w:type="dxa"/>
            <w:tcBorders>
              <w:top w:val="nil"/>
              <w:left w:val="nil"/>
              <w:bottom w:val="single" w:color="auto" w:sz="8"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100≤X＜300</w:t>
            </w:r>
          </w:p>
        </w:tc>
        <w:tc>
          <w:tcPr>
            <w:tcW w:w="1790" w:type="dxa"/>
            <w:tcBorders>
              <w:top w:val="nil"/>
              <w:left w:val="nil"/>
              <w:bottom w:val="single" w:color="auto" w:sz="8"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647" w:type="dxa"/>
            <w:tcBorders>
              <w:top w:val="nil"/>
              <w:left w:val="nil"/>
              <w:bottom w:val="single" w:color="auto" w:sz="8"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321" w:type="dxa"/>
            <w:tcBorders>
              <w:top w:val="nil"/>
              <w:left w:val="nil"/>
              <w:bottom w:val="single" w:color="auto" w:sz="8"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10≤X＜100</w:t>
            </w:r>
          </w:p>
        </w:tc>
        <w:tc>
          <w:tcPr>
            <w:tcW w:w="1623" w:type="dxa"/>
            <w:tcBorders>
              <w:top w:val="nil"/>
              <w:left w:val="nil"/>
              <w:bottom w:val="single" w:color="auto" w:sz="8"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664" w:type="dxa"/>
            <w:tcBorders>
              <w:top w:val="nil"/>
              <w:left w:val="nil"/>
              <w:bottom w:val="single" w:color="auto" w:sz="8"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036" w:type="dxa"/>
            <w:tcBorders>
              <w:top w:val="nil"/>
              <w:left w:val="nil"/>
              <w:bottom w:val="single" w:color="auto" w:sz="8"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X＜10</w:t>
            </w:r>
          </w:p>
        </w:tc>
        <w:tc>
          <w:tcPr>
            <w:tcW w:w="1255" w:type="dxa"/>
            <w:tcBorders>
              <w:top w:val="nil"/>
              <w:left w:val="nil"/>
              <w:bottom w:val="single" w:color="auto" w:sz="8" w:space="0"/>
              <w:right w:val="single" w:color="auto" w:sz="4" w:space="0"/>
            </w:tcBorders>
            <w:vAlign w:val="bottom"/>
          </w:tcPr>
          <w:p>
            <w:pPr>
              <w:widowControl/>
              <w:jc w:val="left"/>
              <w:rPr>
                <w:rFonts w:ascii="宋体" w:hAnsi="宋体" w:cs="宋体"/>
                <w:kern w:val="0"/>
                <w:sz w:val="20"/>
              </w:rPr>
            </w:pPr>
            <w:r>
              <w:rPr>
                <w:rFonts w:hint="eastAsia" w:ascii="宋体" w:hAnsi="宋体" w:cs="宋体"/>
                <w:kern w:val="0"/>
                <w:sz w:val="20"/>
              </w:rPr>
              <w:t>　</w:t>
            </w:r>
          </w:p>
        </w:tc>
        <w:tc>
          <w:tcPr>
            <w:tcW w:w="1055" w:type="dxa"/>
            <w:tcBorders>
              <w:top w:val="nil"/>
              <w:left w:val="nil"/>
              <w:bottom w:val="single" w:color="auto" w:sz="8" w:space="0"/>
              <w:right w:val="single" w:color="auto" w:sz="8" w:space="0"/>
            </w:tcBorders>
            <w:vAlign w:val="bottom"/>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43" w:hRule="atLeast"/>
        </w:trPr>
        <w:tc>
          <w:tcPr>
            <w:tcW w:w="14800" w:type="dxa"/>
            <w:gridSpan w:val="10"/>
            <w:tcBorders>
              <w:top w:val="nil"/>
              <w:left w:val="nil"/>
              <w:bottom w:val="nil"/>
              <w:right w:val="nil"/>
            </w:tcBorders>
            <w:vAlign w:val="bottom"/>
          </w:tcPr>
          <w:p>
            <w:pPr>
              <w:widowControl/>
              <w:jc w:val="left"/>
              <w:rPr>
                <w:rFonts w:ascii="宋体" w:hAnsi="宋体" w:cs="宋体"/>
                <w:kern w:val="0"/>
                <w:sz w:val="20"/>
              </w:rPr>
            </w:pPr>
            <w:r>
              <w:rPr>
                <w:rFonts w:hint="eastAsia" w:ascii="宋体" w:hAnsi="宋体" w:cs="宋体"/>
                <w:kern w:val="0"/>
                <w:sz w:val="20"/>
              </w:rPr>
              <w:t>说明　1、企业类型的划分以统计部门的统计数据为依据。</w:t>
            </w:r>
          </w:p>
          <w:p>
            <w:pPr>
              <w:widowControl/>
              <w:ind w:firstLine="600" w:firstLineChars="300"/>
              <w:jc w:val="left"/>
              <w:rPr>
                <w:rFonts w:ascii="宋体" w:hAnsi="宋体" w:cs="宋体"/>
                <w:kern w:val="0"/>
                <w:sz w:val="20"/>
              </w:rPr>
            </w:pPr>
            <w:r>
              <w:rPr>
                <w:rFonts w:hint="eastAsia" w:ascii="宋体" w:hAnsi="宋体" w:cs="宋体"/>
                <w:kern w:val="0"/>
                <w:sz w:val="20"/>
              </w:rPr>
              <w:t>2、个体工商户和本规定以外的行业，参照本规定进行划型。</w:t>
            </w:r>
          </w:p>
          <w:p>
            <w:pPr>
              <w:widowControl/>
              <w:ind w:firstLine="600" w:firstLineChars="300"/>
              <w:jc w:val="left"/>
              <w:rPr>
                <w:rFonts w:ascii="宋体" w:hAnsi="宋体" w:cs="宋体"/>
                <w:kern w:val="0"/>
                <w:sz w:val="20"/>
              </w:rPr>
            </w:pPr>
            <w:r>
              <w:rPr>
                <w:rFonts w:hint="eastAsia" w:ascii="宋体" w:hAnsi="宋体" w:cs="宋体"/>
                <w:kern w:val="0"/>
                <w:sz w:val="20"/>
              </w:rPr>
              <w:t>3、本规定的中型企业标准上限即为大型企业标准的下限。</w:t>
            </w:r>
          </w:p>
        </w:tc>
      </w:tr>
    </w:tbl>
    <w:p>
      <w:pPr>
        <w:widowControl/>
        <w:jc w:val="left"/>
        <w:rPr>
          <w:rFonts w:ascii="宋体"/>
          <w:b/>
          <w:bCs/>
          <w:spacing w:val="21"/>
          <w:kern w:val="0"/>
          <w:sz w:val="32"/>
          <w:szCs w:val="32"/>
        </w:rPr>
        <w:sectPr>
          <w:pgSz w:w="16838" w:h="11906" w:orient="landscape"/>
          <w:pgMar w:top="850" w:right="1361" w:bottom="1134" w:left="1361" w:header="851" w:footer="964" w:gutter="0"/>
          <w:pgNumType w:fmt="numberInDash"/>
          <w:cols w:space="425" w:num="1"/>
          <w:docGrid w:type="lines" w:linePitch="312" w:charSpace="0"/>
        </w:sectPr>
      </w:pPr>
    </w:p>
    <w:p>
      <w:pPr>
        <w:pStyle w:val="3"/>
        <w:spacing w:line="400" w:lineRule="exact"/>
        <w:rPr>
          <w:rFonts w:ascii="宋体" w:hAnsi="宋体" w:cs="宋体"/>
        </w:rPr>
      </w:pPr>
      <w:r>
        <w:rPr>
          <w:rFonts w:hint="eastAsia" w:ascii="宋体" w:hAnsi="宋体" w:cs="宋体"/>
        </w:rPr>
        <w:t>中小企业声明函填写说明：</w:t>
      </w:r>
    </w:p>
    <w:p>
      <w:pPr>
        <w:pStyle w:val="3"/>
        <w:spacing w:line="400" w:lineRule="exact"/>
        <w:rPr>
          <w:rFonts w:ascii="宋体" w:hAnsi="宋体" w:cs="宋体"/>
        </w:rPr>
      </w:pPr>
      <w:r>
        <w:rPr>
          <w:rFonts w:hint="eastAsia" w:ascii="宋体" w:hAnsi="宋体" w:cs="宋体"/>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53"/>
        <w:spacing w:line="360" w:lineRule="auto"/>
        <w:ind w:right="360"/>
        <w:rPr>
          <w:rFonts w:ascii="宋体"/>
          <w:b/>
          <w:bCs/>
          <w:spacing w:val="21"/>
          <w:kern w:val="0"/>
          <w:sz w:val="32"/>
          <w:szCs w:val="32"/>
        </w:rPr>
        <w:sectPr>
          <w:pgSz w:w="16838" w:h="11906" w:orient="landscape"/>
          <w:pgMar w:top="1644" w:right="1361" w:bottom="1644" w:left="1361" w:header="851" w:footer="964" w:gutter="0"/>
          <w:pgNumType w:fmt="numberInDash"/>
          <w:cols w:space="425" w:num="1"/>
          <w:docGrid w:type="lines" w:linePitch="312" w:charSpace="0"/>
        </w:sectPr>
      </w:pPr>
      <w:r>
        <w:rPr>
          <w:rFonts w:hint="eastAsia" w:ascii="宋体" w:hAnsi="宋体" w:cs="宋体"/>
        </w:rPr>
        <w:t xml:space="preserve">    2、</w:t>
      </w:r>
      <w:r>
        <w:rPr>
          <w:rFonts w:hint="eastAsia" w:ascii="宋体" w:hAnsi="宋体" w:cs="宋体"/>
          <w:b/>
          <w:bCs/>
          <w:u w:val="single"/>
        </w:rPr>
        <w:t>本项目标的所属行业为：其他未列明行业</w:t>
      </w:r>
      <w:r>
        <w:rPr>
          <w:rFonts w:hint="eastAsia" w:ascii="宋体" w:hAnsi="宋体" w:cs="宋体"/>
          <w:b/>
          <w:bCs/>
          <w:u w:val="single"/>
          <w:lang w:eastAsia="zh-CN"/>
        </w:rPr>
        <w:t>（</w:t>
      </w:r>
      <w:r>
        <w:rPr>
          <w:rFonts w:hint="eastAsia" w:ascii="宋体" w:hAnsi="宋体" w:cs="宋体"/>
          <w:b/>
          <w:bCs/>
          <w:u w:val="single"/>
        </w:rPr>
        <w:t>水利、环境和公共设施管理业</w:t>
      </w:r>
      <w:r>
        <w:rPr>
          <w:rFonts w:hint="eastAsia" w:ascii="宋体" w:hAnsi="宋体" w:cs="宋体"/>
          <w:b/>
          <w:bCs/>
          <w:u w:val="single"/>
          <w:lang w:eastAsia="zh-CN"/>
        </w:rPr>
        <w:t>）</w:t>
      </w:r>
      <w:r>
        <w:rPr>
          <w:rFonts w:hint="eastAsia" w:ascii="宋体" w:hAnsi="宋体" w:cs="宋体"/>
          <w:b/>
          <w:bCs/>
          <w:u w:val="single"/>
        </w:rPr>
        <w:t>。</w:t>
      </w:r>
    </w:p>
    <w:p>
      <w:pPr>
        <w:widowControl/>
        <w:jc w:val="left"/>
        <w:rPr>
          <w:rFonts w:ascii="仿宋_GB2312" w:hAnsi="宋体" w:eastAsia="仿宋_GB2312"/>
          <w:b/>
          <w:bCs/>
          <w:sz w:val="30"/>
          <w:szCs w:val="30"/>
        </w:rPr>
      </w:pPr>
    </w:p>
    <w:p>
      <w:pPr>
        <w:spacing w:line="360" w:lineRule="auto"/>
        <w:ind w:right="-110"/>
        <w:jc w:val="center"/>
        <w:outlineLvl w:val="0"/>
        <w:rPr>
          <w:rFonts w:hint="eastAsia" w:ascii="宋体" w:eastAsia="宋体"/>
          <w:spacing w:val="40"/>
          <w:sz w:val="52"/>
          <w:szCs w:val="52"/>
          <w:lang w:eastAsia="zh-CN"/>
        </w:rPr>
      </w:pPr>
      <w:r>
        <w:rPr>
          <w:rFonts w:hint="eastAsia" w:ascii="宋体" w:hAnsi="宋体" w:cs="宋体"/>
          <w:spacing w:val="40"/>
          <w:sz w:val="40"/>
          <w:szCs w:val="40"/>
          <w:lang w:eastAsia="zh-CN"/>
        </w:rPr>
        <w:t>温岭市新河镇2024年度病媒生物防制专业化服务项目采购</w:t>
      </w:r>
    </w:p>
    <w:p>
      <w:pPr>
        <w:spacing w:beforeLines="100" w:line="360" w:lineRule="auto"/>
        <w:ind w:right="-108"/>
        <w:jc w:val="center"/>
        <w:rPr>
          <w:rFonts w:ascii="宋体" w:hAnsi="宋体" w:cs="宋体"/>
          <w:sz w:val="36"/>
          <w:szCs w:val="36"/>
        </w:rPr>
      </w:pPr>
    </w:p>
    <w:p>
      <w:pPr>
        <w:spacing w:beforeLines="100" w:line="360" w:lineRule="auto"/>
        <w:ind w:right="-108"/>
        <w:jc w:val="center"/>
        <w:rPr>
          <w:rFonts w:hint="eastAsia" w:ascii="宋体" w:eastAsia="宋体"/>
          <w:sz w:val="36"/>
          <w:szCs w:val="36"/>
          <w:lang w:eastAsia="zh-CN"/>
        </w:rPr>
      </w:pPr>
      <w:r>
        <w:rPr>
          <w:rFonts w:hint="eastAsia" w:ascii="宋体" w:hAnsi="宋体" w:cs="宋体"/>
          <w:sz w:val="36"/>
          <w:szCs w:val="36"/>
        </w:rPr>
        <w:t>项目编号：</w:t>
      </w:r>
      <w:r>
        <w:rPr>
          <w:rFonts w:hint="eastAsia" w:ascii="宋体" w:hAnsi="宋体" w:cs="宋体"/>
          <w:sz w:val="36"/>
          <w:szCs w:val="36"/>
          <w:lang w:eastAsia="zh-CN"/>
        </w:rPr>
        <w:t>JJWL24031981</w:t>
      </w:r>
    </w:p>
    <w:p>
      <w:pPr>
        <w:autoSpaceDE w:val="0"/>
        <w:autoSpaceDN w:val="0"/>
        <w:adjustRightInd w:val="0"/>
        <w:spacing w:line="360" w:lineRule="auto"/>
        <w:jc w:val="center"/>
        <w:rPr>
          <w:rFonts w:ascii="宋体"/>
          <w:sz w:val="56"/>
          <w:szCs w:val="56"/>
          <w:lang w:val="zh-CN"/>
        </w:rPr>
      </w:pPr>
    </w:p>
    <w:p>
      <w:pPr>
        <w:pStyle w:val="18"/>
        <w:rPr>
          <w:lang w:val="zh-CN"/>
        </w:rPr>
      </w:pPr>
    </w:p>
    <w:p>
      <w:pPr>
        <w:autoSpaceDE w:val="0"/>
        <w:autoSpaceDN w:val="0"/>
        <w:adjustRightInd w:val="0"/>
        <w:spacing w:line="360" w:lineRule="auto"/>
        <w:jc w:val="center"/>
        <w:rPr>
          <w:rFonts w:ascii="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cs="宋体"/>
          <w:b/>
          <w:bCs/>
          <w:spacing w:val="40"/>
          <w:sz w:val="28"/>
          <w:szCs w:val="28"/>
          <w:lang w:val="zh-CN"/>
        </w:rPr>
      </w:pPr>
      <w:r>
        <w:rPr>
          <w:rFonts w:hint="eastAsia" w:ascii="宋体" w:hAnsi="宋体" w:cs="宋体"/>
          <w:b/>
          <w:bCs/>
          <w:spacing w:val="40"/>
          <w:sz w:val="28"/>
          <w:szCs w:val="28"/>
          <w:lang w:val="zh-CN"/>
        </w:rPr>
        <w:t>（商务技术文件）</w:t>
      </w:r>
    </w:p>
    <w:p>
      <w:pPr>
        <w:spacing w:line="360" w:lineRule="auto"/>
        <w:ind w:right="532" w:firstLine="720" w:firstLineChars="200"/>
        <w:rPr>
          <w:rFonts w:ascii="宋体"/>
          <w:sz w:val="36"/>
          <w:szCs w:val="36"/>
        </w:rPr>
      </w:pPr>
      <w:r>
        <w:rPr>
          <w:rFonts w:hint="eastAsia" w:ascii="宋体" w:hAnsi="宋体" w:cs="宋体"/>
          <w:sz w:val="36"/>
          <w:szCs w:val="36"/>
        </w:rPr>
        <w:t>投标人全称（公章）：</w:t>
      </w:r>
    </w:p>
    <w:p>
      <w:pPr>
        <w:spacing w:line="360" w:lineRule="auto"/>
        <w:ind w:right="532" w:firstLine="720" w:firstLineChars="200"/>
        <w:rPr>
          <w:rFonts w:ascii="宋体"/>
          <w:sz w:val="36"/>
          <w:szCs w:val="36"/>
        </w:rPr>
      </w:pPr>
      <w:r>
        <w:rPr>
          <w:rFonts w:hint="eastAsia" w:ascii="宋体" w:hAnsi="宋体" w:cs="宋体"/>
          <w:sz w:val="36"/>
          <w:szCs w:val="36"/>
        </w:rPr>
        <w:t>地</w:t>
      </w:r>
      <w:r>
        <w:rPr>
          <w:rFonts w:ascii="宋体" w:hAnsi="宋体" w:cs="宋体"/>
          <w:sz w:val="36"/>
          <w:szCs w:val="36"/>
        </w:rPr>
        <w:t xml:space="preserve">    </w:t>
      </w:r>
      <w:r>
        <w:rPr>
          <w:rFonts w:hint="eastAsia" w:ascii="宋体" w:hAnsi="宋体" w:cs="宋体"/>
          <w:sz w:val="36"/>
          <w:szCs w:val="36"/>
        </w:rPr>
        <w:t>址：</w:t>
      </w:r>
    </w:p>
    <w:p>
      <w:pPr>
        <w:spacing w:line="360" w:lineRule="auto"/>
        <w:ind w:right="532" w:firstLine="720" w:firstLineChars="200"/>
        <w:rPr>
          <w:rFonts w:ascii="宋体"/>
          <w:sz w:val="36"/>
          <w:szCs w:val="36"/>
        </w:rPr>
      </w:pPr>
      <w:r>
        <w:rPr>
          <w:rFonts w:hint="eastAsia" w:ascii="宋体" w:hAnsi="宋体" w:cs="宋体"/>
          <w:sz w:val="36"/>
          <w:szCs w:val="36"/>
        </w:rPr>
        <w:t>时</w:t>
      </w:r>
      <w:r>
        <w:rPr>
          <w:rFonts w:ascii="宋体" w:hAnsi="宋体" w:cs="宋体"/>
          <w:sz w:val="36"/>
          <w:szCs w:val="36"/>
        </w:rPr>
        <w:t xml:space="preserve">    </w:t>
      </w:r>
      <w:r>
        <w:rPr>
          <w:rFonts w:hint="eastAsia" w:ascii="宋体" w:hAnsi="宋体" w:cs="宋体"/>
          <w:sz w:val="36"/>
          <w:szCs w:val="36"/>
        </w:rPr>
        <w:t>间：</w:t>
      </w:r>
    </w:p>
    <w:p>
      <w:pPr>
        <w:snapToGrid w:val="0"/>
        <w:spacing w:before="50" w:after="50" w:line="360" w:lineRule="auto"/>
        <w:jc w:val="center"/>
        <w:rPr>
          <w:rFonts w:hint="eastAsia" w:ascii="宋体" w:eastAsia="宋体"/>
          <w:b/>
          <w:bCs/>
          <w:sz w:val="32"/>
          <w:szCs w:val="32"/>
          <w:lang w:eastAsia="zh-CN"/>
        </w:rPr>
      </w:pPr>
      <w:r>
        <w:rPr>
          <w:rFonts w:ascii="宋体" w:hAnsi="宋体" w:cs="宋体"/>
          <w:b/>
          <w:bCs/>
          <w:sz w:val="32"/>
          <w:szCs w:val="32"/>
          <w:lang w:val="zh-CN"/>
        </w:rPr>
        <w:br w:type="page"/>
      </w:r>
      <w:r>
        <w:rPr>
          <w:rFonts w:hint="eastAsia" w:ascii="宋体" w:hAnsi="宋体" w:cs="宋体"/>
          <w:b/>
          <w:bCs/>
          <w:sz w:val="32"/>
          <w:szCs w:val="32"/>
          <w:lang w:val="zh-CN"/>
        </w:rPr>
        <w:t>商务技术文件</w:t>
      </w:r>
      <w:r>
        <w:rPr>
          <w:rFonts w:hint="eastAsia" w:ascii="宋体" w:hAnsi="宋体" w:cs="宋体"/>
          <w:b/>
          <w:bCs/>
          <w:sz w:val="32"/>
          <w:szCs w:val="32"/>
        </w:rPr>
        <w:t>目录</w:t>
      </w:r>
      <w:r>
        <w:rPr>
          <w:rFonts w:hint="eastAsia" w:ascii="宋体" w:hAnsi="宋体" w:cs="宋体"/>
          <w:b/>
          <w:bCs/>
          <w:sz w:val="32"/>
          <w:szCs w:val="32"/>
          <w:lang w:eastAsia="zh-CN"/>
        </w:rPr>
        <w:t>（仅供参考）</w:t>
      </w:r>
    </w:p>
    <w:p>
      <w:pPr>
        <w:numPr>
          <w:ilvl w:val="0"/>
          <w:numId w:val="9"/>
        </w:numPr>
        <w:snapToGrid w:val="0"/>
        <w:spacing w:line="360" w:lineRule="auto"/>
        <w:ind w:firstLine="560" w:firstLineChars="200"/>
        <w:jc w:val="distribute"/>
        <w:rPr>
          <w:rFonts w:cs="宋体"/>
          <w:sz w:val="28"/>
          <w:szCs w:val="28"/>
        </w:rPr>
      </w:pPr>
      <w:r>
        <w:rPr>
          <w:rFonts w:hint="eastAsia" w:cs="宋体"/>
          <w:sz w:val="28"/>
          <w:szCs w:val="28"/>
        </w:rPr>
        <w:t>供应商自评表………………………………………………页码；</w:t>
      </w:r>
    </w:p>
    <w:p>
      <w:pPr>
        <w:numPr>
          <w:ilvl w:val="0"/>
          <w:numId w:val="9"/>
        </w:numPr>
        <w:snapToGrid w:val="0"/>
        <w:spacing w:line="360" w:lineRule="auto"/>
        <w:ind w:left="631" w:leftChars="265" w:hanging="75" w:hangingChars="27"/>
        <w:jc w:val="distribute"/>
        <w:rPr>
          <w:rFonts w:cs="宋体"/>
          <w:sz w:val="28"/>
          <w:szCs w:val="28"/>
        </w:rPr>
      </w:pPr>
      <w:r>
        <w:rPr>
          <w:rFonts w:hint="eastAsia" w:cs="宋体"/>
          <w:sz w:val="28"/>
          <w:szCs w:val="28"/>
        </w:rPr>
        <w:t>投标人基本情况表</w:t>
      </w:r>
      <w:r>
        <w:rPr>
          <w:rFonts w:hint="eastAsia" w:cs="宋体"/>
          <w:sz w:val="28"/>
          <w:szCs w:val="28"/>
          <w:lang w:eastAsia="zh-CN"/>
        </w:rPr>
        <w:t>（</w:t>
      </w:r>
      <w:r>
        <w:rPr>
          <w:rFonts w:hint="eastAsia" w:cs="宋体"/>
          <w:sz w:val="28"/>
          <w:szCs w:val="28"/>
        </w:rPr>
        <w:t>后附《浙江省病媒生物预防控制服务单位   备案确认书》)…………………………………………………页码；</w:t>
      </w:r>
    </w:p>
    <w:p>
      <w:pPr>
        <w:numPr>
          <w:ilvl w:val="0"/>
          <w:numId w:val="9"/>
        </w:numPr>
        <w:snapToGrid w:val="0"/>
        <w:spacing w:line="360" w:lineRule="auto"/>
        <w:ind w:firstLine="560" w:firstLineChars="200"/>
        <w:jc w:val="distribute"/>
        <w:rPr>
          <w:rFonts w:cs="宋体"/>
          <w:sz w:val="28"/>
          <w:szCs w:val="28"/>
        </w:rPr>
      </w:pPr>
      <w:r>
        <w:rPr>
          <w:rFonts w:hint="eastAsia" w:cs="宋体"/>
          <w:sz w:val="28"/>
          <w:szCs w:val="28"/>
        </w:rPr>
        <w:t>证书一览表…………………………………………………页码；</w:t>
      </w:r>
    </w:p>
    <w:p>
      <w:pPr>
        <w:numPr>
          <w:ilvl w:val="0"/>
          <w:numId w:val="9"/>
        </w:numPr>
        <w:snapToGrid w:val="0"/>
        <w:spacing w:line="360" w:lineRule="auto"/>
        <w:ind w:firstLine="560" w:firstLineChars="200"/>
        <w:jc w:val="distribute"/>
        <w:rPr>
          <w:rFonts w:cs="宋体"/>
          <w:sz w:val="28"/>
          <w:szCs w:val="28"/>
        </w:rPr>
      </w:pPr>
      <w:r>
        <w:rPr>
          <w:rFonts w:hint="eastAsia" w:cs="宋体"/>
          <w:sz w:val="28"/>
          <w:szCs w:val="28"/>
        </w:rPr>
        <w:t>拟投入主要人员配备表……………………………………页码；</w:t>
      </w:r>
    </w:p>
    <w:p>
      <w:pPr>
        <w:numPr>
          <w:ilvl w:val="0"/>
          <w:numId w:val="9"/>
        </w:numPr>
        <w:snapToGrid w:val="0"/>
        <w:spacing w:line="360" w:lineRule="auto"/>
        <w:ind w:firstLine="560" w:firstLineChars="200"/>
        <w:jc w:val="distribute"/>
        <w:rPr>
          <w:rFonts w:cs="宋体"/>
          <w:sz w:val="28"/>
          <w:szCs w:val="28"/>
        </w:rPr>
      </w:pPr>
      <w:r>
        <w:rPr>
          <w:rFonts w:hint="eastAsia" w:cs="宋体"/>
          <w:sz w:val="28"/>
          <w:szCs w:val="28"/>
        </w:rPr>
        <w:t>类似业绩一览表……………………………………………页码；</w:t>
      </w:r>
    </w:p>
    <w:p>
      <w:pPr>
        <w:numPr>
          <w:ilvl w:val="0"/>
          <w:numId w:val="9"/>
        </w:numPr>
        <w:snapToGrid w:val="0"/>
        <w:spacing w:line="360" w:lineRule="auto"/>
        <w:ind w:firstLine="560" w:firstLineChars="200"/>
        <w:jc w:val="distribute"/>
        <w:rPr>
          <w:rFonts w:cs="宋体"/>
          <w:sz w:val="28"/>
          <w:szCs w:val="28"/>
        </w:rPr>
      </w:pPr>
      <w:r>
        <w:rPr>
          <w:rFonts w:hint="eastAsia" w:cs="宋体"/>
          <w:sz w:val="28"/>
          <w:szCs w:val="28"/>
        </w:rPr>
        <w:t>类似项目情况表……………………………………………页码；</w:t>
      </w:r>
    </w:p>
    <w:p>
      <w:pPr>
        <w:numPr>
          <w:ilvl w:val="0"/>
          <w:numId w:val="9"/>
        </w:numPr>
        <w:snapToGrid w:val="0"/>
        <w:spacing w:line="360" w:lineRule="auto"/>
        <w:ind w:firstLine="560" w:firstLineChars="200"/>
        <w:jc w:val="distribute"/>
        <w:rPr>
          <w:rFonts w:cs="宋体"/>
          <w:sz w:val="28"/>
          <w:szCs w:val="28"/>
        </w:rPr>
      </w:pPr>
      <w:r>
        <w:rPr>
          <w:rFonts w:hint="eastAsia" w:cs="宋体"/>
          <w:sz w:val="28"/>
          <w:szCs w:val="28"/>
        </w:rPr>
        <w:t>技术商务偏离表……………………………………………页码；</w:t>
      </w:r>
    </w:p>
    <w:p>
      <w:pPr>
        <w:numPr>
          <w:ilvl w:val="0"/>
          <w:numId w:val="9"/>
        </w:numPr>
        <w:snapToGrid w:val="0"/>
        <w:spacing w:line="360" w:lineRule="auto"/>
        <w:ind w:firstLine="560" w:firstLineChars="200"/>
        <w:jc w:val="distribute"/>
        <w:rPr>
          <w:rFonts w:cs="宋体"/>
          <w:sz w:val="28"/>
          <w:szCs w:val="28"/>
        </w:rPr>
      </w:pPr>
      <w:r>
        <w:rPr>
          <w:rFonts w:hint="eastAsia" w:cs="宋体"/>
          <w:sz w:val="28"/>
          <w:szCs w:val="28"/>
        </w:rPr>
        <w:t>投标人认为需要提供的其他内容………………………页码。</w:t>
      </w:r>
    </w:p>
    <w:p>
      <w:pPr>
        <w:rPr>
          <w:rFonts w:ascii="宋体" w:hAnsi="宋体" w:cs="宋体"/>
          <w:b/>
          <w:bCs/>
          <w:sz w:val="24"/>
        </w:rPr>
      </w:pPr>
      <w:r>
        <w:rPr>
          <w:b/>
          <w:bCs/>
          <w:sz w:val="28"/>
          <w:szCs w:val="28"/>
        </w:rPr>
        <w:br w:type="page"/>
      </w:r>
      <w:r>
        <w:rPr>
          <w:rFonts w:hint="eastAsia" w:ascii="宋体" w:hAnsi="宋体" w:cs="宋体"/>
          <w:b/>
          <w:bCs/>
          <w:sz w:val="24"/>
        </w:rPr>
        <w:t>附件1：</w:t>
      </w:r>
    </w:p>
    <w:p>
      <w:pPr>
        <w:pStyle w:val="11"/>
        <w:spacing w:before="120" w:after="120" w:line="480" w:lineRule="auto"/>
        <w:jc w:val="center"/>
        <w:rPr>
          <w:rFonts w:ascii="仿宋_GB2312" w:hAnsi="宋体" w:eastAsia="仿宋_GB2312"/>
          <w:b/>
          <w:color w:val="000000"/>
          <w:sz w:val="32"/>
          <w:szCs w:val="32"/>
        </w:rPr>
      </w:pPr>
      <w:r>
        <w:rPr>
          <w:rFonts w:hint="eastAsia" w:ascii="仿宋_GB2312" w:hAnsi="宋体" w:eastAsia="仿宋_GB2312"/>
          <w:b/>
          <w:color w:val="000000"/>
          <w:sz w:val="32"/>
          <w:szCs w:val="32"/>
        </w:rPr>
        <w:t>供应商自评表</w:t>
      </w:r>
    </w:p>
    <w:tbl>
      <w:tblPr>
        <w:tblStyle w:val="20"/>
        <w:tblW w:w="10538" w:type="dxa"/>
        <w:tblInd w:w="-10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542"/>
        <w:gridCol w:w="6729"/>
        <w:gridCol w:w="665"/>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blHeader/>
        </w:trPr>
        <w:tc>
          <w:tcPr>
            <w:tcW w:w="608" w:type="dxa"/>
            <w:vAlign w:val="center"/>
          </w:tcPr>
          <w:p>
            <w:pPr>
              <w:pStyle w:val="11"/>
              <w:spacing w:before="120" w:after="120" w:line="480" w:lineRule="auto"/>
              <w:jc w:val="center"/>
              <w:rPr>
                <w:rFonts w:hAnsi="宋体"/>
                <w:b/>
                <w:sz w:val="18"/>
                <w:szCs w:val="18"/>
                <w:highlight w:val="none"/>
              </w:rPr>
            </w:pPr>
            <w:r>
              <w:rPr>
                <w:rFonts w:hAnsi="宋体"/>
                <w:b/>
                <w:sz w:val="18"/>
                <w:szCs w:val="18"/>
                <w:highlight w:val="none"/>
              </w:rPr>
              <w:t>序号</w:t>
            </w:r>
          </w:p>
        </w:tc>
        <w:tc>
          <w:tcPr>
            <w:tcW w:w="8271" w:type="dxa"/>
            <w:gridSpan w:val="2"/>
            <w:vAlign w:val="center"/>
          </w:tcPr>
          <w:p>
            <w:pPr>
              <w:pStyle w:val="11"/>
              <w:spacing w:before="120" w:after="120" w:line="480" w:lineRule="auto"/>
              <w:jc w:val="center"/>
              <w:rPr>
                <w:rFonts w:hAnsi="宋体"/>
                <w:b/>
                <w:sz w:val="18"/>
                <w:szCs w:val="18"/>
                <w:highlight w:val="none"/>
              </w:rPr>
            </w:pPr>
            <w:r>
              <w:rPr>
                <w:rFonts w:hAnsi="宋体"/>
                <w:b/>
                <w:sz w:val="18"/>
                <w:szCs w:val="18"/>
                <w:highlight w:val="none"/>
              </w:rPr>
              <w:t>评分内容</w:t>
            </w:r>
          </w:p>
        </w:tc>
        <w:tc>
          <w:tcPr>
            <w:tcW w:w="665" w:type="dxa"/>
            <w:vAlign w:val="center"/>
          </w:tcPr>
          <w:p>
            <w:pPr>
              <w:pStyle w:val="11"/>
              <w:spacing w:before="120" w:after="120"/>
              <w:jc w:val="center"/>
              <w:rPr>
                <w:rFonts w:hAnsi="宋体"/>
                <w:b/>
                <w:sz w:val="18"/>
                <w:szCs w:val="18"/>
                <w:highlight w:val="none"/>
              </w:rPr>
            </w:pPr>
            <w:r>
              <w:rPr>
                <w:rFonts w:hAnsi="宋体"/>
                <w:b/>
                <w:sz w:val="18"/>
                <w:szCs w:val="18"/>
                <w:highlight w:val="none"/>
              </w:rPr>
              <w:t>自评分值</w:t>
            </w:r>
          </w:p>
        </w:tc>
        <w:tc>
          <w:tcPr>
            <w:tcW w:w="994" w:type="dxa"/>
            <w:vAlign w:val="center"/>
          </w:tcPr>
          <w:p>
            <w:pPr>
              <w:pStyle w:val="11"/>
              <w:spacing w:before="120" w:after="120"/>
              <w:jc w:val="center"/>
              <w:rPr>
                <w:rFonts w:hAnsi="宋体"/>
                <w:b/>
                <w:sz w:val="18"/>
                <w:szCs w:val="18"/>
                <w:highlight w:val="none"/>
              </w:rPr>
            </w:pPr>
            <w:r>
              <w:rPr>
                <w:rFonts w:hAnsi="宋体"/>
                <w:b/>
                <w:sz w:val="18"/>
                <w:szCs w:val="18"/>
                <w:highlight w:val="none"/>
              </w:rPr>
              <w:t>评分依据对应页码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blHeader/>
        </w:trPr>
        <w:tc>
          <w:tcPr>
            <w:tcW w:w="608" w:type="dxa"/>
            <w:vAlign w:val="center"/>
          </w:tcPr>
          <w:p>
            <w:pPr>
              <w:spacing w:line="300" w:lineRule="exact"/>
              <w:jc w:val="center"/>
              <w:rPr>
                <w:rFonts w:hint="eastAsia" w:ascii="宋体" w:hAnsi="宋体" w:eastAsia="宋体" w:cs="宋体"/>
                <w:b/>
                <w:kern w:val="2"/>
                <w:sz w:val="18"/>
                <w:szCs w:val="18"/>
                <w:highlight w:val="none"/>
                <w:lang w:val="en-US" w:eastAsia="zh-CN" w:bidi="ar-SA"/>
              </w:rPr>
            </w:pPr>
            <w:r>
              <w:rPr>
                <w:rFonts w:hint="eastAsia" w:ascii="宋体" w:hAnsi="宋体" w:cs="宋体"/>
                <w:b/>
                <w:kern w:val="2"/>
                <w:sz w:val="18"/>
                <w:szCs w:val="18"/>
                <w:highlight w:val="none"/>
                <w:lang w:val="en-US" w:eastAsia="zh-CN" w:bidi="ar-SA"/>
              </w:rPr>
              <w:t>1</w:t>
            </w:r>
          </w:p>
        </w:tc>
        <w:tc>
          <w:tcPr>
            <w:tcW w:w="1542" w:type="dxa"/>
            <w:vAlign w:val="center"/>
          </w:tcPr>
          <w:p>
            <w:pPr>
              <w:jc w:val="center"/>
              <w:rPr>
                <w:rFonts w:ascii="宋体" w:hAnsi="宋体" w:cs="宋体"/>
                <w:sz w:val="22"/>
                <w:szCs w:val="20"/>
                <w:highlight w:val="none"/>
              </w:rPr>
            </w:pPr>
            <w:r>
              <w:rPr>
                <w:rFonts w:hint="eastAsia" w:ascii="宋体" w:hAnsi="宋体" w:cs="宋体"/>
                <w:sz w:val="22"/>
                <w:szCs w:val="20"/>
                <w:highlight w:val="none"/>
              </w:rPr>
              <w:t>服务</w:t>
            </w:r>
          </w:p>
          <w:p>
            <w:pPr>
              <w:jc w:val="center"/>
              <w:rPr>
                <w:rFonts w:ascii="宋体" w:hAnsi="宋体" w:cs="宋体"/>
                <w:sz w:val="22"/>
                <w:szCs w:val="20"/>
                <w:highlight w:val="none"/>
              </w:rPr>
            </w:pPr>
            <w:r>
              <w:rPr>
                <w:rFonts w:hint="eastAsia" w:ascii="宋体" w:hAnsi="宋体" w:cs="宋体"/>
                <w:sz w:val="22"/>
                <w:szCs w:val="20"/>
                <w:highlight w:val="none"/>
              </w:rPr>
              <w:t>业绩</w:t>
            </w:r>
          </w:p>
        </w:tc>
        <w:tc>
          <w:tcPr>
            <w:tcW w:w="6729" w:type="dxa"/>
            <w:vAlign w:val="center"/>
          </w:tcPr>
          <w:p>
            <w:pPr>
              <w:spacing w:line="300" w:lineRule="exact"/>
              <w:rPr>
                <w:rFonts w:ascii="宋体" w:hAnsi="宋体" w:eastAsia="宋体" w:cs="宋体"/>
                <w:kern w:val="2"/>
                <w:sz w:val="22"/>
                <w:szCs w:val="21"/>
                <w:highlight w:val="none"/>
                <w:lang w:val="en-US" w:eastAsia="zh-CN" w:bidi="ar-SA"/>
              </w:rPr>
            </w:pPr>
            <w:r>
              <w:rPr>
                <w:rFonts w:hint="eastAsia" w:ascii="宋体" w:hAnsi="宋体" w:cs="宋体"/>
                <w:sz w:val="22"/>
                <w:szCs w:val="20"/>
                <w:highlight w:val="none"/>
              </w:rPr>
              <w:t>自</w:t>
            </w:r>
            <w:r>
              <w:rPr>
                <w:rFonts w:hint="eastAsia" w:ascii="宋体" w:hAnsi="宋体" w:cs="宋体"/>
                <w:sz w:val="22"/>
                <w:szCs w:val="20"/>
                <w:highlight w:val="none"/>
                <w:lang w:eastAsia="zh-CN"/>
              </w:rPr>
              <w:t>2021年1月1日</w:t>
            </w:r>
            <w:r>
              <w:rPr>
                <w:rFonts w:hint="eastAsia" w:ascii="宋体" w:hAnsi="宋体" w:cs="宋体"/>
                <w:sz w:val="22"/>
                <w:szCs w:val="20"/>
                <w:highlight w:val="none"/>
              </w:rPr>
              <w:t>（以合同签订时间为准）以来，提供成功创建（或复评）国家级、省级、地市级卫生乡镇（或城市）案例，国家级每个案例得1.5分，省级每个案例得1分，地市级每个案例得0.5分，本项最高得3分。</w:t>
            </w:r>
            <w:r>
              <w:rPr>
                <w:rFonts w:hint="eastAsia" w:ascii="宋体" w:hAnsi="宋体" w:cs="宋体"/>
                <w:sz w:val="22"/>
                <w:szCs w:val="20"/>
                <w:highlight w:val="none"/>
                <w:lang w:eastAsia="zh-CN"/>
              </w:rPr>
              <w:t>（</w:t>
            </w:r>
            <w:r>
              <w:rPr>
                <w:rFonts w:hint="eastAsia" w:ascii="宋体" w:hAnsi="宋体" w:cs="宋体"/>
                <w:b/>
                <w:bCs/>
                <w:sz w:val="22"/>
                <w:szCs w:val="20"/>
                <w:highlight w:val="none"/>
              </w:rPr>
              <w:t>注：须提供以下证明材料：1、项目合同；2、相关创建成功案例证明材料（网上公示的可提供网页截图）；二者缺一不可，否则不得分，相关资料复印件均应编入商务技术文件中。请按照：A业绩合同、A业绩创建成功证明材料；B业绩合同……这样的顺序编制。）</w:t>
            </w:r>
          </w:p>
        </w:tc>
        <w:tc>
          <w:tcPr>
            <w:tcW w:w="665" w:type="dxa"/>
            <w:vAlign w:val="center"/>
          </w:tcPr>
          <w:p>
            <w:pPr>
              <w:pStyle w:val="11"/>
              <w:spacing w:before="120" w:after="120"/>
              <w:jc w:val="center"/>
              <w:rPr>
                <w:rFonts w:hAnsi="宋体"/>
                <w:b/>
                <w:sz w:val="18"/>
                <w:szCs w:val="18"/>
                <w:highlight w:val="none"/>
              </w:rPr>
            </w:pPr>
          </w:p>
        </w:tc>
        <w:tc>
          <w:tcPr>
            <w:tcW w:w="994" w:type="dxa"/>
            <w:vAlign w:val="center"/>
          </w:tcPr>
          <w:p>
            <w:pPr>
              <w:pStyle w:val="11"/>
              <w:spacing w:before="120" w:after="120"/>
              <w:jc w:val="center"/>
              <w:rPr>
                <w:rFonts w:hAnsi="宋体"/>
                <w:b/>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608" w:type="dxa"/>
            <w:vAlign w:val="center"/>
          </w:tcPr>
          <w:p>
            <w:pPr>
              <w:pStyle w:val="11"/>
              <w:spacing w:before="120" w:after="120" w:line="480" w:lineRule="auto"/>
              <w:jc w:val="center"/>
              <w:rPr>
                <w:rFonts w:hint="eastAsia" w:hAnsi="宋体"/>
                <w:b/>
                <w:sz w:val="18"/>
                <w:szCs w:val="18"/>
                <w:highlight w:val="none"/>
              </w:rPr>
            </w:pPr>
            <w:r>
              <w:rPr>
                <w:rFonts w:hint="eastAsia" w:hAnsi="宋体"/>
                <w:b/>
                <w:sz w:val="18"/>
                <w:szCs w:val="18"/>
                <w:highlight w:val="none"/>
              </w:rPr>
              <w:t>2</w:t>
            </w:r>
          </w:p>
        </w:tc>
        <w:tc>
          <w:tcPr>
            <w:tcW w:w="1542" w:type="dxa"/>
            <w:vAlign w:val="center"/>
          </w:tcPr>
          <w:p>
            <w:pPr>
              <w:jc w:val="center"/>
              <w:rPr>
                <w:rFonts w:ascii="宋体" w:hAnsi="宋体" w:cs="宋体"/>
                <w:sz w:val="24"/>
                <w:szCs w:val="22"/>
                <w:highlight w:val="none"/>
              </w:rPr>
            </w:pPr>
            <w:r>
              <w:rPr>
                <w:rFonts w:hint="eastAsia" w:ascii="宋体" w:hAnsi="宋体" w:cs="宋体"/>
                <w:sz w:val="22"/>
                <w:szCs w:val="20"/>
                <w:highlight w:val="none"/>
              </w:rPr>
              <w:t>拟投入技术力量</w:t>
            </w:r>
          </w:p>
        </w:tc>
        <w:tc>
          <w:tcPr>
            <w:tcW w:w="6729" w:type="dxa"/>
            <w:vAlign w:val="center"/>
          </w:tcPr>
          <w:p>
            <w:pPr>
              <w:spacing w:line="300" w:lineRule="exact"/>
              <w:rPr>
                <w:rFonts w:ascii="宋体" w:hAnsi="宋体" w:cs="宋体"/>
                <w:sz w:val="22"/>
                <w:highlight w:val="none"/>
              </w:rPr>
            </w:pPr>
            <w:r>
              <w:rPr>
                <w:rFonts w:hint="eastAsia" w:ascii="宋体" w:hAnsi="宋体" w:cs="宋体"/>
                <w:sz w:val="22"/>
                <w:highlight w:val="none"/>
              </w:rPr>
              <w:t>1.拟派作业人员持有有害生物防制高级</w:t>
            </w:r>
            <w:r>
              <w:rPr>
                <w:rFonts w:hint="eastAsia" w:ascii="宋体" w:hAnsi="宋体" w:cs="宋体"/>
                <w:sz w:val="22"/>
                <w:highlight w:val="none"/>
                <w:lang w:eastAsia="zh-CN"/>
              </w:rPr>
              <w:t>（</w:t>
            </w:r>
            <w:r>
              <w:rPr>
                <w:rFonts w:hint="eastAsia" w:ascii="宋体" w:hAnsi="宋体" w:cs="宋体"/>
                <w:sz w:val="22"/>
                <w:highlight w:val="none"/>
              </w:rPr>
              <w:t>三级）资质证书技术人员，每提供一名得2分，本项最高得6分；</w:t>
            </w:r>
          </w:p>
          <w:p>
            <w:pPr>
              <w:spacing w:line="300" w:lineRule="exact"/>
              <w:rPr>
                <w:rFonts w:ascii="宋体" w:hAnsi="宋体" w:cs="宋体"/>
                <w:sz w:val="22"/>
                <w:highlight w:val="none"/>
              </w:rPr>
            </w:pPr>
            <w:r>
              <w:rPr>
                <w:rFonts w:hint="eastAsia" w:ascii="宋体" w:hAnsi="宋体" w:cs="宋体"/>
                <w:sz w:val="22"/>
                <w:highlight w:val="none"/>
              </w:rPr>
              <w:t>2.拟派作业人员持有害生物防制中级（四级）资质证书技术人员，每提供一名得1.5分，本项最高得6分；</w:t>
            </w:r>
          </w:p>
          <w:p>
            <w:pPr>
              <w:spacing w:line="300" w:lineRule="exact"/>
              <w:rPr>
                <w:rFonts w:ascii="宋体" w:hAnsi="宋体" w:cs="宋体"/>
                <w:sz w:val="22"/>
                <w:highlight w:val="none"/>
              </w:rPr>
            </w:pPr>
            <w:r>
              <w:rPr>
                <w:rFonts w:hint="eastAsia" w:ascii="宋体" w:hAnsi="宋体" w:cs="宋体"/>
                <w:sz w:val="22"/>
                <w:highlight w:val="none"/>
              </w:rPr>
              <w:t>3.拟派作业人员持有害生物防制初级（五级）资质证书技术人员，每提供一名得1分，本项最高得4分；</w:t>
            </w:r>
          </w:p>
          <w:p>
            <w:pPr>
              <w:spacing w:line="300" w:lineRule="exact"/>
              <w:rPr>
                <w:rFonts w:ascii="宋体" w:hAnsi="宋体" w:cs="宋体"/>
                <w:b/>
                <w:bCs/>
                <w:sz w:val="22"/>
                <w:highlight w:val="none"/>
              </w:rPr>
            </w:pPr>
            <w:r>
              <w:rPr>
                <w:rFonts w:hint="eastAsia" w:ascii="宋体" w:hAnsi="宋体" w:cs="宋体"/>
                <w:b/>
                <w:bCs/>
                <w:sz w:val="22"/>
                <w:highlight w:val="none"/>
              </w:rPr>
              <w:t>注</w:t>
            </w:r>
            <w:r>
              <w:rPr>
                <w:rFonts w:hint="eastAsia" w:ascii="宋体" w:hAnsi="宋体" w:cs="宋体"/>
                <w:b/>
                <w:bCs/>
                <w:sz w:val="22"/>
                <w:highlight w:val="none"/>
                <w:lang w:eastAsia="zh-CN"/>
              </w:rPr>
              <w:t>：</w:t>
            </w:r>
            <w:r>
              <w:rPr>
                <w:rFonts w:hint="eastAsia" w:ascii="宋体" w:hAnsi="宋体" w:cs="宋体"/>
                <w:b/>
                <w:bCs/>
                <w:sz w:val="22"/>
                <w:highlight w:val="none"/>
              </w:rPr>
              <w:t>高级可代中级或初级、中级可代初级，</w:t>
            </w:r>
            <w:r>
              <w:rPr>
                <w:rFonts w:hint="eastAsia" w:ascii="宋体" w:hAnsi="宋体" w:cs="宋体"/>
                <w:b/>
                <w:bCs/>
                <w:color w:val="FF0000"/>
                <w:sz w:val="22"/>
                <w:szCs w:val="20"/>
                <w:highlight w:val="none"/>
              </w:rPr>
              <w:t>上述人员不可重复。</w:t>
            </w:r>
          </w:p>
          <w:p>
            <w:pPr>
              <w:spacing w:line="300" w:lineRule="exact"/>
              <w:rPr>
                <w:rFonts w:ascii="宋体" w:hAnsi="宋体" w:eastAsia="宋体" w:cs="宋体"/>
                <w:kern w:val="2"/>
                <w:sz w:val="22"/>
                <w:szCs w:val="21"/>
                <w:highlight w:val="none"/>
                <w:lang w:val="en-US" w:eastAsia="zh-CN" w:bidi="ar-SA"/>
              </w:rPr>
            </w:pPr>
            <w:r>
              <w:rPr>
                <w:rFonts w:hint="eastAsia" w:ascii="宋体" w:hAnsi="宋体" w:cs="宋体"/>
                <w:sz w:val="22"/>
                <w:highlight w:val="none"/>
              </w:rPr>
              <w:t>（</w:t>
            </w:r>
            <w:r>
              <w:rPr>
                <w:rFonts w:hint="eastAsia" w:ascii="宋体" w:hAnsi="宋体" w:cs="宋体"/>
                <w:b/>
                <w:bCs/>
                <w:sz w:val="22"/>
                <w:highlight w:val="none"/>
              </w:rPr>
              <w:t>本项评分最高16分，至少提供8名拟派技术人员，须同时提供相关证书复印件和投标截止时间前6个月内的代缴个税税单或参加社会保险的《投保单》或《社会保险参保人员证明》等证明，投标文件中需提供相关清晰可辨复印件，否则不得分。</w:t>
            </w:r>
            <w:r>
              <w:rPr>
                <w:rFonts w:hint="eastAsia" w:ascii="宋体" w:hAnsi="宋体" w:cs="宋体"/>
                <w:sz w:val="22"/>
                <w:highlight w:val="none"/>
              </w:rPr>
              <w:t>）</w:t>
            </w:r>
          </w:p>
        </w:tc>
        <w:tc>
          <w:tcPr>
            <w:tcW w:w="665" w:type="dxa"/>
          </w:tcPr>
          <w:p>
            <w:pPr>
              <w:pStyle w:val="11"/>
              <w:spacing w:before="120" w:after="120" w:line="480" w:lineRule="auto"/>
              <w:jc w:val="center"/>
              <w:rPr>
                <w:rFonts w:hAnsi="宋体"/>
                <w:b/>
                <w:sz w:val="18"/>
                <w:szCs w:val="18"/>
                <w:highlight w:val="none"/>
              </w:rPr>
            </w:pPr>
          </w:p>
        </w:tc>
        <w:tc>
          <w:tcPr>
            <w:tcW w:w="994" w:type="dxa"/>
          </w:tcPr>
          <w:p>
            <w:pPr>
              <w:pStyle w:val="11"/>
              <w:spacing w:before="120" w:after="120" w:line="480" w:lineRule="auto"/>
              <w:jc w:val="center"/>
              <w:rPr>
                <w:rFonts w:hAnsi="宋体"/>
                <w:b/>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608" w:type="dxa"/>
            <w:vAlign w:val="center"/>
          </w:tcPr>
          <w:p>
            <w:pPr>
              <w:pStyle w:val="11"/>
              <w:spacing w:before="120" w:after="120" w:line="480" w:lineRule="auto"/>
              <w:jc w:val="center"/>
              <w:rPr>
                <w:rFonts w:hint="eastAsia" w:hAnsi="宋体" w:eastAsia="宋体"/>
                <w:b/>
                <w:sz w:val="18"/>
                <w:szCs w:val="18"/>
                <w:highlight w:val="none"/>
                <w:lang w:val="en-US" w:eastAsia="zh-CN"/>
              </w:rPr>
            </w:pPr>
            <w:r>
              <w:rPr>
                <w:rFonts w:hint="eastAsia" w:hAnsi="宋体"/>
                <w:b/>
                <w:sz w:val="18"/>
                <w:szCs w:val="18"/>
                <w:highlight w:val="none"/>
                <w:lang w:val="en-US" w:eastAsia="zh-CN"/>
              </w:rPr>
              <w:t>3</w:t>
            </w:r>
          </w:p>
        </w:tc>
        <w:tc>
          <w:tcPr>
            <w:tcW w:w="1542" w:type="dxa"/>
            <w:vAlign w:val="center"/>
          </w:tcPr>
          <w:p>
            <w:pPr>
              <w:jc w:val="center"/>
              <w:rPr>
                <w:rFonts w:hint="eastAsia" w:ascii="宋体" w:hAnsi="宋体" w:cs="宋体"/>
                <w:sz w:val="22"/>
                <w:szCs w:val="20"/>
                <w:highlight w:val="none"/>
              </w:rPr>
            </w:pPr>
            <w:r>
              <w:rPr>
                <w:rFonts w:hint="eastAsia" w:ascii="宋体" w:hAnsi="宋体" w:cs="宋体"/>
                <w:sz w:val="22"/>
                <w:szCs w:val="20"/>
                <w:highlight w:val="none"/>
              </w:rPr>
              <w:t>项目需求和服务承诺</w:t>
            </w:r>
          </w:p>
        </w:tc>
        <w:tc>
          <w:tcPr>
            <w:tcW w:w="6729" w:type="dxa"/>
            <w:vAlign w:val="center"/>
          </w:tcPr>
          <w:p>
            <w:pPr>
              <w:spacing w:line="300" w:lineRule="exact"/>
              <w:rPr>
                <w:rFonts w:hint="eastAsia" w:ascii="宋体" w:hAnsi="宋体" w:cs="宋体"/>
                <w:sz w:val="22"/>
                <w:highlight w:val="none"/>
              </w:rPr>
            </w:pPr>
            <w:r>
              <w:rPr>
                <w:rFonts w:hint="eastAsia" w:ascii="宋体" w:hAnsi="宋体" w:cs="宋体"/>
                <w:sz w:val="22"/>
                <w:szCs w:val="20"/>
                <w:highlight w:val="none"/>
              </w:rPr>
              <w:t>供应商承诺中标后在服务辖区设立服务站点，拟派常驻技术人员在满足有1人的基础上，每增加1人加1分，最高累计得分不超过3分。（</w:t>
            </w:r>
            <w:r>
              <w:rPr>
                <w:rFonts w:hint="eastAsia" w:ascii="宋体" w:hAnsi="宋体" w:cs="宋体"/>
                <w:b/>
                <w:bCs/>
                <w:sz w:val="22"/>
                <w:szCs w:val="20"/>
                <w:highlight w:val="none"/>
              </w:rPr>
              <w:t>须根据项目实际情况，按</w:t>
            </w:r>
            <w:r>
              <w:rPr>
                <w:rFonts w:hint="eastAsia" w:ascii="宋体" w:hAnsi="宋体" w:cs="宋体"/>
                <w:b/>
                <w:bCs/>
                <w:sz w:val="22"/>
                <w:szCs w:val="20"/>
                <w:highlight w:val="none"/>
                <w:lang w:eastAsia="zh-CN"/>
              </w:rPr>
              <w:t>乡镇</w:t>
            </w:r>
            <w:r>
              <w:rPr>
                <w:rFonts w:hint="eastAsia" w:ascii="宋体" w:hAnsi="宋体" w:cs="宋体"/>
                <w:b/>
                <w:bCs/>
                <w:sz w:val="22"/>
                <w:szCs w:val="20"/>
                <w:highlight w:val="none"/>
              </w:rPr>
              <w:t>实际消杀范围配备人员</w:t>
            </w:r>
            <w:r>
              <w:rPr>
                <w:rFonts w:hint="eastAsia" w:ascii="宋体" w:hAnsi="宋体" w:cs="宋体"/>
                <w:b/>
                <w:bCs/>
                <w:sz w:val="22"/>
                <w:szCs w:val="20"/>
                <w:highlight w:val="none"/>
                <w:lang w:eastAsia="zh-CN"/>
              </w:rPr>
              <w:t>，投标时提供承诺函</w:t>
            </w:r>
            <w:r>
              <w:rPr>
                <w:rFonts w:hint="eastAsia" w:ascii="宋体" w:hAnsi="宋体" w:cs="宋体"/>
                <w:b/>
                <w:bCs/>
                <w:sz w:val="22"/>
                <w:szCs w:val="20"/>
                <w:highlight w:val="none"/>
              </w:rPr>
              <w:t>，否则不得分</w:t>
            </w:r>
            <w:r>
              <w:rPr>
                <w:rFonts w:hint="eastAsia" w:ascii="宋体" w:hAnsi="宋体" w:cs="宋体"/>
                <w:sz w:val="22"/>
                <w:szCs w:val="20"/>
                <w:highlight w:val="none"/>
              </w:rPr>
              <w:t>）</w:t>
            </w:r>
          </w:p>
        </w:tc>
        <w:tc>
          <w:tcPr>
            <w:tcW w:w="665" w:type="dxa"/>
          </w:tcPr>
          <w:p>
            <w:pPr>
              <w:pStyle w:val="11"/>
              <w:spacing w:before="120" w:after="120" w:line="480" w:lineRule="auto"/>
              <w:jc w:val="center"/>
              <w:rPr>
                <w:rFonts w:hAnsi="宋体"/>
                <w:b/>
                <w:sz w:val="18"/>
                <w:szCs w:val="18"/>
                <w:highlight w:val="none"/>
              </w:rPr>
            </w:pPr>
          </w:p>
        </w:tc>
        <w:tc>
          <w:tcPr>
            <w:tcW w:w="994" w:type="dxa"/>
          </w:tcPr>
          <w:p>
            <w:pPr>
              <w:pStyle w:val="11"/>
              <w:spacing w:before="120" w:after="120" w:line="480" w:lineRule="auto"/>
              <w:jc w:val="center"/>
              <w:rPr>
                <w:rFonts w:hAnsi="宋体"/>
                <w:b/>
                <w:sz w:val="18"/>
                <w:szCs w:val="18"/>
                <w:highlight w:val="none"/>
              </w:rPr>
            </w:pPr>
          </w:p>
        </w:tc>
      </w:tr>
    </w:tbl>
    <w:p>
      <w:pPr>
        <w:spacing w:line="500" w:lineRule="exact"/>
        <w:jc w:val="left"/>
        <w:textAlignment w:val="baseline"/>
        <w:rPr>
          <w:rFonts w:hAnsi="宋体"/>
          <w:sz w:val="24"/>
        </w:rPr>
      </w:pPr>
      <w:r>
        <w:rPr>
          <w:rFonts w:hint="eastAsia" w:hAnsi="宋体"/>
          <w:sz w:val="24"/>
        </w:rPr>
        <w:t>投标人全称（盖章）：</w:t>
      </w:r>
    </w:p>
    <w:p>
      <w:pPr>
        <w:spacing w:line="500" w:lineRule="exact"/>
        <w:textAlignment w:val="baseline"/>
        <w:rPr>
          <w:rFonts w:hAnsi="宋体"/>
          <w:sz w:val="24"/>
        </w:rPr>
      </w:pPr>
      <w:r>
        <w:rPr>
          <w:rFonts w:hint="eastAsia" w:hAnsi="宋体" w:cs="仿宋_GB2312"/>
          <w:sz w:val="24"/>
        </w:rPr>
        <w:t>法定代表人或</w:t>
      </w:r>
      <w:r>
        <w:rPr>
          <w:rFonts w:hint="eastAsia" w:hAnsi="宋体"/>
          <w:sz w:val="24"/>
        </w:rPr>
        <w:t xml:space="preserve">委托代理人（盖章或签字）：                 </w:t>
      </w:r>
    </w:p>
    <w:p>
      <w:pPr>
        <w:spacing w:line="500" w:lineRule="exact"/>
        <w:textAlignment w:val="baseline"/>
        <w:rPr>
          <w:rFonts w:hAnsi="宋体"/>
          <w:sz w:val="24"/>
        </w:rPr>
      </w:pPr>
      <w:r>
        <w:rPr>
          <w:rFonts w:hint="eastAsia" w:hAnsi="宋体"/>
          <w:sz w:val="24"/>
        </w:rPr>
        <w:t xml:space="preserve">日  </w:t>
      </w:r>
      <w:r>
        <w:rPr>
          <w:rFonts w:hAnsi="宋体"/>
          <w:sz w:val="24"/>
        </w:rPr>
        <w:t xml:space="preserve">  </w:t>
      </w:r>
      <w:r>
        <w:rPr>
          <w:rFonts w:hint="eastAsia" w:hAnsi="宋体"/>
          <w:sz w:val="24"/>
        </w:rPr>
        <w:t xml:space="preserve">期： </w:t>
      </w:r>
      <w:r>
        <w:rPr>
          <w:rFonts w:hAnsi="宋体"/>
          <w:sz w:val="24"/>
        </w:rPr>
        <w:t xml:space="preserve"> </w:t>
      </w:r>
    </w:p>
    <w:p>
      <w:pPr>
        <w:rPr>
          <w:rFonts w:ascii="宋体" w:hAnsi="宋体" w:cs="宋体"/>
          <w:b/>
          <w:bCs/>
          <w:sz w:val="24"/>
        </w:rPr>
      </w:pPr>
      <w:r>
        <w:rPr>
          <w:rFonts w:hint="eastAsia" w:ascii="宋体" w:hAnsi="宋体" w:cs="宋体"/>
          <w:b/>
          <w:bCs/>
          <w:sz w:val="24"/>
        </w:rPr>
        <w:br w:type="page"/>
      </w:r>
      <w:bookmarkStart w:id="31" w:name="_GoBack"/>
      <w:bookmarkEnd w:id="31"/>
    </w:p>
    <w:p>
      <w:pPr>
        <w:spacing w:line="500" w:lineRule="exact"/>
        <w:rPr>
          <w:rFonts w:ascii="宋体" w:hAnsi="宋体" w:cs="宋体"/>
          <w:b/>
          <w:bCs/>
          <w:sz w:val="24"/>
        </w:rPr>
      </w:pPr>
      <w:r>
        <w:rPr>
          <w:rFonts w:hint="eastAsia" w:ascii="宋体" w:hAnsi="宋体" w:cs="宋体"/>
          <w:b/>
          <w:bCs/>
          <w:sz w:val="24"/>
        </w:rPr>
        <w:t>附件2：</w:t>
      </w:r>
    </w:p>
    <w:p>
      <w:pPr>
        <w:pStyle w:val="43"/>
        <w:shd w:val="clear" w:color="auto" w:fill="FFFFFF"/>
        <w:spacing w:before="0" w:beforeAutospacing="0" w:after="0" w:afterAutospacing="0" w:line="360" w:lineRule="auto"/>
        <w:jc w:val="center"/>
        <w:rPr>
          <w:rFonts w:cs="Times New Roman"/>
          <w:b/>
          <w:bCs/>
          <w:spacing w:val="21"/>
          <w:sz w:val="32"/>
          <w:szCs w:val="32"/>
        </w:rPr>
      </w:pPr>
      <w:r>
        <w:rPr>
          <w:b/>
          <w:bCs/>
          <w:sz w:val="32"/>
          <w:szCs w:val="32"/>
        </w:rPr>
        <w:t xml:space="preserve">  </w:t>
      </w:r>
      <w:r>
        <w:rPr>
          <w:rFonts w:hint="eastAsia"/>
          <w:b/>
          <w:bCs/>
          <w:sz w:val="32"/>
          <w:szCs w:val="32"/>
        </w:rPr>
        <w:t>投标</w:t>
      </w:r>
      <w:r>
        <w:rPr>
          <w:rFonts w:hint="eastAsia"/>
          <w:b/>
          <w:bCs/>
          <w:spacing w:val="21"/>
          <w:sz w:val="32"/>
          <w:szCs w:val="32"/>
        </w:rPr>
        <w:t>人基本情况表</w:t>
      </w:r>
    </w:p>
    <w:tbl>
      <w:tblPr>
        <w:tblStyle w:val="20"/>
        <w:tblW w:w="954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802"/>
        <w:gridCol w:w="990"/>
        <w:gridCol w:w="924"/>
        <w:gridCol w:w="1469"/>
        <w:gridCol w:w="364"/>
        <w:gridCol w:w="1258"/>
        <w:gridCol w:w="576"/>
        <w:gridCol w:w="1003"/>
        <w:gridCol w:w="115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2" w:hRule="exact"/>
          <w:jc w:val="center"/>
        </w:trPr>
        <w:tc>
          <w:tcPr>
            <w:tcW w:w="1802" w:type="dxa"/>
            <w:tcBorders>
              <w:top w:val="single" w:color="000000" w:sz="12" w:space="0"/>
            </w:tcBorders>
            <w:vAlign w:val="center"/>
          </w:tcPr>
          <w:p>
            <w:pPr>
              <w:pStyle w:val="59"/>
              <w:ind w:firstLine="315"/>
              <w:rPr>
                <w:color w:val="auto"/>
                <w:sz w:val="21"/>
              </w:rPr>
            </w:pPr>
            <w:r>
              <w:rPr>
                <w:rFonts w:hint="eastAsia"/>
                <w:color w:val="auto"/>
                <w:sz w:val="21"/>
              </w:rPr>
              <w:t>投标人名称</w:t>
            </w:r>
          </w:p>
        </w:tc>
        <w:tc>
          <w:tcPr>
            <w:tcW w:w="7743" w:type="dxa"/>
            <w:gridSpan w:val="8"/>
            <w:tcBorders>
              <w:top w:val="single" w:color="000000" w:sz="12" w:space="0"/>
            </w:tcBorders>
            <w:vAlign w:val="center"/>
          </w:tcPr>
          <w:p>
            <w:pPr>
              <w:pStyle w:val="59"/>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2" w:hRule="exact"/>
          <w:jc w:val="center"/>
        </w:trPr>
        <w:tc>
          <w:tcPr>
            <w:tcW w:w="1802" w:type="dxa"/>
            <w:vAlign w:val="center"/>
          </w:tcPr>
          <w:p>
            <w:pPr>
              <w:pStyle w:val="59"/>
              <w:ind w:firstLine="315"/>
              <w:rPr>
                <w:color w:val="auto"/>
                <w:sz w:val="21"/>
              </w:rPr>
            </w:pPr>
            <w:r>
              <w:rPr>
                <w:rFonts w:hint="eastAsia"/>
                <w:color w:val="auto"/>
                <w:sz w:val="21"/>
              </w:rPr>
              <w:t>注册地址</w:t>
            </w:r>
          </w:p>
        </w:tc>
        <w:tc>
          <w:tcPr>
            <w:tcW w:w="3747" w:type="dxa"/>
            <w:gridSpan w:val="4"/>
            <w:vAlign w:val="center"/>
          </w:tcPr>
          <w:p>
            <w:pPr>
              <w:pStyle w:val="59"/>
              <w:ind w:firstLine="315"/>
              <w:rPr>
                <w:color w:val="auto"/>
                <w:sz w:val="21"/>
              </w:rPr>
            </w:pPr>
          </w:p>
        </w:tc>
        <w:tc>
          <w:tcPr>
            <w:tcW w:w="1258" w:type="dxa"/>
            <w:vAlign w:val="center"/>
          </w:tcPr>
          <w:p>
            <w:pPr>
              <w:pStyle w:val="59"/>
              <w:ind w:firstLineChars="0"/>
              <w:jc w:val="center"/>
              <w:rPr>
                <w:color w:val="auto"/>
                <w:sz w:val="21"/>
              </w:rPr>
            </w:pPr>
            <w:r>
              <w:rPr>
                <w:rFonts w:hint="eastAsia"/>
                <w:color w:val="auto"/>
                <w:sz w:val="21"/>
              </w:rPr>
              <w:t>邮政编码</w:t>
            </w:r>
          </w:p>
        </w:tc>
        <w:tc>
          <w:tcPr>
            <w:tcW w:w="2738" w:type="dxa"/>
            <w:gridSpan w:val="3"/>
            <w:vAlign w:val="center"/>
          </w:tcPr>
          <w:p>
            <w:pPr>
              <w:pStyle w:val="59"/>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62" w:hRule="exact"/>
          <w:jc w:val="center"/>
        </w:trPr>
        <w:tc>
          <w:tcPr>
            <w:tcW w:w="1802" w:type="dxa"/>
            <w:vMerge w:val="restart"/>
            <w:vAlign w:val="center"/>
          </w:tcPr>
          <w:p>
            <w:pPr>
              <w:pStyle w:val="59"/>
              <w:ind w:firstLine="315"/>
              <w:rPr>
                <w:color w:val="auto"/>
                <w:sz w:val="21"/>
              </w:rPr>
            </w:pPr>
            <w:r>
              <w:rPr>
                <w:rFonts w:hint="eastAsia"/>
                <w:color w:val="auto"/>
                <w:sz w:val="21"/>
              </w:rPr>
              <w:t>联系方式</w:t>
            </w:r>
          </w:p>
        </w:tc>
        <w:tc>
          <w:tcPr>
            <w:tcW w:w="990" w:type="dxa"/>
            <w:vAlign w:val="center"/>
          </w:tcPr>
          <w:p>
            <w:pPr>
              <w:pStyle w:val="59"/>
              <w:ind w:firstLine="0" w:firstLineChars="0"/>
              <w:jc w:val="center"/>
              <w:rPr>
                <w:color w:val="auto"/>
                <w:sz w:val="21"/>
              </w:rPr>
            </w:pPr>
            <w:r>
              <w:rPr>
                <w:rFonts w:hint="eastAsia"/>
                <w:color w:val="auto"/>
                <w:sz w:val="21"/>
              </w:rPr>
              <w:t>联系人</w:t>
            </w:r>
          </w:p>
        </w:tc>
        <w:tc>
          <w:tcPr>
            <w:tcW w:w="2757" w:type="dxa"/>
            <w:gridSpan w:val="3"/>
            <w:vAlign w:val="center"/>
          </w:tcPr>
          <w:p>
            <w:pPr>
              <w:pStyle w:val="59"/>
              <w:ind w:firstLine="315"/>
              <w:rPr>
                <w:color w:val="auto"/>
                <w:sz w:val="21"/>
              </w:rPr>
            </w:pPr>
          </w:p>
        </w:tc>
        <w:tc>
          <w:tcPr>
            <w:tcW w:w="1258" w:type="dxa"/>
            <w:vAlign w:val="center"/>
          </w:tcPr>
          <w:p>
            <w:pPr>
              <w:pStyle w:val="59"/>
              <w:ind w:firstLineChars="0"/>
              <w:jc w:val="center"/>
              <w:rPr>
                <w:color w:val="auto"/>
                <w:sz w:val="21"/>
              </w:rPr>
            </w:pPr>
            <w:r>
              <w:rPr>
                <w:rFonts w:hint="eastAsia"/>
                <w:color w:val="auto"/>
                <w:sz w:val="21"/>
              </w:rPr>
              <w:t>电</w:t>
            </w:r>
            <w:r>
              <w:rPr>
                <w:color w:val="auto"/>
                <w:sz w:val="21"/>
              </w:rPr>
              <w:t xml:space="preserve"> </w:t>
            </w:r>
            <w:r>
              <w:rPr>
                <w:rFonts w:hint="eastAsia"/>
                <w:color w:val="auto"/>
                <w:sz w:val="21"/>
              </w:rPr>
              <w:t>话</w:t>
            </w:r>
          </w:p>
        </w:tc>
        <w:tc>
          <w:tcPr>
            <w:tcW w:w="2738" w:type="dxa"/>
            <w:gridSpan w:val="3"/>
            <w:vAlign w:val="center"/>
          </w:tcPr>
          <w:p>
            <w:pPr>
              <w:pStyle w:val="59"/>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62" w:hRule="exact"/>
          <w:jc w:val="center"/>
        </w:trPr>
        <w:tc>
          <w:tcPr>
            <w:tcW w:w="1802" w:type="dxa"/>
            <w:vMerge w:val="continue"/>
            <w:vAlign w:val="center"/>
          </w:tcPr>
          <w:p>
            <w:pPr>
              <w:pStyle w:val="59"/>
              <w:ind w:firstLine="315"/>
              <w:jc w:val="center"/>
              <w:rPr>
                <w:color w:val="auto"/>
                <w:sz w:val="21"/>
              </w:rPr>
            </w:pPr>
          </w:p>
        </w:tc>
        <w:tc>
          <w:tcPr>
            <w:tcW w:w="990" w:type="dxa"/>
            <w:vAlign w:val="center"/>
          </w:tcPr>
          <w:p>
            <w:pPr>
              <w:pStyle w:val="59"/>
              <w:ind w:firstLine="0" w:firstLineChars="0"/>
              <w:jc w:val="center"/>
              <w:rPr>
                <w:color w:val="auto"/>
                <w:sz w:val="21"/>
              </w:rPr>
            </w:pPr>
            <w:r>
              <w:rPr>
                <w:rFonts w:hint="eastAsia"/>
                <w:color w:val="auto"/>
                <w:sz w:val="21"/>
              </w:rPr>
              <w:t>传</w:t>
            </w:r>
            <w:r>
              <w:rPr>
                <w:color w:val="auto"/>
                <w:sz w:val="21"/>
              </w:rPr>
              <w:t xml:space="preserve"> </w:t>
            </w:r>
            <w:r>
              <w:rPr>
                <w:rFonts w:hint="eastAsia"/>
                <w:color w:val="auto"/>
                <w:sz w:val="21"/>
              </w:rPr>
              <w:t>真</w:t>
            </w:r>
          </w:p>
        </w:tc>
        <w:tc>
          <w:tcPr>
            <w:tcW w:w="2757" w:type="dxa"/>
            <w:gridSpan w:val="3"/>
            <w:vAlign w:val="center"/>
          </w:tcPr>
          <w:p>
            <w:pPr>
              <w:pStyle w:val="59"/>
              <w:ind w:firstLine="315"/>
              <w:rPr>
                <w:color w:val="auto"/>
                <w:sz w:val="21"/>
              </w:rPr>
            </w:pPr>
          </w:p>
        </w:tc>
        <w:tc>
          <w:tcPr>
            <w:tcW w:w="1258" w:type="dxa"/>
            <w:vAlign w:val="center"/>
          </w:tcPr>
          <w:p>
            <w:pPr>
              <w:pStyle w:val="59"/>
              <w:ind w:firstLineChars="0"/>
              <w:jc w:val="center"/>
              <w:rPr>
                <w:color w:val="auto"/>
                <w:sz w:val="21"/>
              </w:rPr>
            </w:pPr>
            <w:r>
              <w:rPr>
                <w:rFonts w:hint="eastAsia"/>
                <w:color w:val="auto"/>
                <w:sz w:val="21"/>
              </w:rPr>
              <w:t>电子邮件</w:t>
            </w:r>
          </w:p>
        </w:tc>
        <w:tc>
          <w:tcPr>
            <w:tcW w:w="2738" w:type="dxa"/>
            <w:gridSpan w:val="3"/>
            <w:vAlign w:val="center"/>
          </w:tcPr>
          <w:p>
            <w:pPr>
              <w:pStyle w:val="59"/>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2" w:hRule="exact"/>
          <w:jc w:val="center"/>
        </w:trPr>
        <w:tc>
          <w:tcPr>
            <w:tcW w:w="1802" w:type="dxa"/>
            <w:vAlign w:val="center"/>
          </w:tcPr>
          <w:p>
            <w:pPr>
              <w:pStyle w:val="59"/>
              <w:ind w:firstLine="315"/>
              <w:rPr>
                <w:color w:val="auto"/>
                <w:sz w:val="21"/>
              </w:rPr>
            </w:pPr>
            <w:r>
              <w:rPr>
                <w:rFonts w:hint="eastAsia"/>
                <w:color w:val="auto"/>
                <w:sz w:val="21"/>
              </w:rPr>
              <w:t>法定代表人</w:t>
            </w:r>
          </w:p>
        </w:tc>
        <w:tc>
          <w:tcPr>
            <w:tcW w:w="990" w:type="dxa"/>
            <w:vAlign w:val="center"/>
          </w:tcPr>
          <w:p>
            <w:pPr>
              <w:pStyle w:val="59"/>
              <w:ind w:firstLine="315"/>
              <w:rPr>
                <w:color w:val="auto"/>
                <w:sz w:val="21"/>
              </w:rPr>
            </w:pPr>
            <w:r>
              <w:rPr>
                <w:rFonts w:hint="eastAsia"/>
                <w:color w:val="auto"/>
                <w:sz w:val="21"/>
              </w:rPr>
              <w:t>姓名</w:t>
            </w:r>
          </w:p>
        </w:tc>
        <w:tc>
          <w:tcPr>
            <w:tcW w:w="924" w:type="dxa"/>
            <w:vAlign w:val="center"/>
          </w:tcPr>
          <w:p>
            <w:pPr>
              <w:pStyle w:val="59"/>
              <w:ind w:firstLine="315"/>
              <w:rPr>
                <w:color w:val="auto"/>
                <w:sz w:val="21"/>
              </w:rPr>
            </w:pPr>
          </w:p>
        </w:tc>
        <w:tc>
          <w:tcPr>
            <w:tcW w:w="1469" w:type="dxa"/>
            <w:vAlign w:val="center"/>
          </w:tcPr>
          <w:p>
            <w:pPr>
              <w:pStyle w:val="59"/>
              <w:ind w:firstLine="315"/>
              <w:rPr>
                <w:color w:val="auto"/>
                <w:sz w:val="21"/>
              </w:rPr>
            </w:pPr>
            <w:r>
              <w:rPr>
                <w:rFonts w:hint="eastAsia"/>
                <w:color w:val="auto"/>
                <w:sz w:val="21"/>
              </w:rPr>
              <w:t>技术职称</w:t>
            </w:r>
          </w:p>
        </w:tc>
        <w:tc>
          <w:tcPr>
            <w:tcW w:w="2198" w:type="dxa"/>
            <w:gridSpan w:val="3"/>
            <w:vAlign w:val="center"/>
          </w:tcPr>
          <w:p>
            <w:pPr>
              <w:pStyle w:val="59"/>
              <w:ind w:firstLine="315"/>
              <w:rPr>
                <w:color w:val="auto"/>
                <w:sz w:val="21"/>
              </w:rPr>
            </w:pPr>
          </w:p>
        </w:tc>
        <w:tc>
          <w:tcPr>
            <w:tcW w:w="1003" w:type="dxa"/>
            <w:vAlign w:val="center"/>
          </w:tcPr>
          <w:p>
            <w:pPr>
              <w:pStyle w:val="59"/>
              <w:ind w:firstLine="315"/>
              <w:rPr>
                <w:color w:val="auto"/>
                <w:sz w:val="21"/>
              </w:rPr>
            </w:pPr>
            <w:r>
              <w:rPr>
                <w:rFonts w:hint="eastAsia"/>
                <w:color w:val="auto"/>
                <w:sz w:val="21"/>
              </w:rPr>
              <w:t>电话</w:t>
            </w:r>
          </w:p>
        </w:tc>
        <w:tc>
          <w:tcPr>
            <w:tcW w:w="1159" w:type="dxa"/>
            <w:vAlign w:val="center"/>
          </w:tcPr>
          <w:p>
            <w:pPr>
              <w:pStyle w:val="59"/>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2" w:hRule="exact"/>
          <w:jc w:val="center"/>
        </w:trPr>
        <w:tc>
          <w:tcPr>
            <w:tcW w:w="1802" w:type="dxa"/>
            <w:vAlign w:val="center"/>
          </w:tcPr>
          <w:p>
            <w:pPr>
              <w:pStyle w:val="59"/>
              <w:ind w:firstLine="315"/>
              <w:rPr>
                <w:color w:val="auto"/>
                <w:sz w:val="21"/>
              </w:rPr>
            </w:pPr>
            <w:r>
              <w:rPr>
                <w:rFonts w:hint="eastAsia"/>
                <w:color w:val="auto"/>
                <w:sz w:val="21"/>
              </w:rPr>
              <w:t>技术负责人</w:t>
            </w:r>
          </w:p>
        </w:tc>
        <w:tc>
          <w:tcPr>
            <w:tcW w:w="990" w:type="dxa"/>
            <w:vAlign w:val="center"/>
          </w:tcPr>
          <w:p>
            <w:pPr>
              <w:pStyle w:val="59"/>
              <w:ind w:firstLine="315"/>
              <w:rPr>
                <w:color w:val="auto"/>
                <w:sz w:val="21"/>
              </w:rPr>
            </w:pPr>
            <w:r>
              <w:rPr>
                <w:rFonts w:hint="eastAsia"/>
                <w:color w:val="auto"/>
                <w:sz w:val="21"/>
              </w:rPr>
              <w:t>姓名</w:t>
            </w:r>
          </w:p>
        </w:tc>
        <w:tc>
          <w:tcPr>
            <w:tcW w:w="924" w:type="dxa"/>
            <w:vAlign w:val="center"/>
          </w:tcPr>
          <w:p>
            <w:pPr>
              <w:pStyle w:val="59"/>
              <w:ind w:firstLine="315"/>
              <w:rPr>
                <w:color w:val="auto"/>
                <w:sz w:val="21"/>
              </w:rPr>
            </w:pPr>
          </w:p>
        </w:tc>
        <w:tc>
          <w:tcPr>
            <w:tcW w:w="1469" w:type="dxa"/>
            <w:vAlign w:val="center"/>
          </w:tcPr>
          <w:p>
            <w:pPr>
              <w:pStyle w:val="59"/>
              <w:ind w:firstLine="315"/>
              <w:rPr>
                <w:color w:val="auto"/>
                <w:sz w:val="21"/>
              </w:rPr>
            </w:pPr>
            <w:r>
              <w:rPr>
                <w:rFonts w:hint="eastAsia"/>
                <w:color w:val="auto"/>
                <w:sz w:val="21"/>
              </w:rPr>
              <w:t>技术职称</w:t>
            </w:r>
          </w:p>
        </w:tc>
        <w:tc>
          <w:tcPr>
            <w:tcW w:w="2198" w:type="dxa"/>
            <w:gridSpan w:val="3"/>
            <w:vAlign w:val="center"/>
          </w:tcPr>
          <w:p>
            <w:pPr>
              <w:pStyle w:val="59"/>
              <w:ind w:firstLine="315"/>
              <w:rPr>
                <w:color w:val="auto"/>
                <w:sz w:val="21"/>
              </w:rPr>
            </w:pPr>
          </w:p>
        </w:tc>
        <w:tc>
          <w:tcPr>
            <w:tcW w:w="1003" w:type="dxa"/>
            <w:vAlign w:val="center"/>
          </w:tcPr>
          <w:p>
            <w:pPr>
              <w:pStyle w:val="59"/>
              <w:ind w:firstLine="315"/>
              <w:rPr>
                <w:color w:val="auto"/>
                <w:sz w:val="21"/>
              </w:rPr>
            </w:pPr>
            <w:r>
              <w:rPr>
                <w:rFonts w:hint="eastAsia"/>
                <w:color w:val="auto"/>
                <w:sz w:val="21"/>
              </w:rPr>
              <w:t>电话</w:t>
            </w:r>
          </w:p>
        </w:tc>
        <w:tc>
          <w:tcPr>
            <w:tcW w:w="1159" w:type="dxa"/>
            <w:vAlign w:val="center"/>
          </w:tcPr>
          <w:p>
            <w:pPr>
              <w:pStyle w:val="59"/>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2" w:hRule="exact"/>
          <w:jc w:val="center"/>
        </w:trPr>
        <w:tc>
          <w:tcPr>
            <w:tcW w:w="1802" w:type="dxa"/>
            <w:vAlign w:val="center"/>
          </w:tcPr>
          <w:p>
            <w:pPr>
              <w:pStyle w:val="59"/>
              <w:ind w:firstLine="315"/>
              <w:rPr>
                <w:color w:val="auto"/>
                <w:sz w:val="21"/>
              </w:rPr>
            </w:pPr>
            <w:r>
              <w:rPr>
                <w:rFonts w:hint="eastAsia"/>
                <w:color w:val="auto"/>
                <w:sz w:val="21"/>
              </w:rPr>
              <w:t>成立时间</w:t>
            </w:r>
          </w:p>
        </w:tc>
        <w:tc>
          <w:tcPr>
            <w:tcW w:w="1914" w:type="dxa"/>
            <w:gridSpan w:val="2"/>
            <w:vAlign w:val="center"/>
          </w:tcPr>
          <w:p>
            <w:pPr>
              <w:pStyle w:val="59"/>
              <w:ind w:firstLine="315"/>
              <w:rPr>
                <w:color w:val="auto"/>
                <w:sz w:val="21"/>
              </w:rPr>
            </w:pPr>
          </w:p>
        </w:tc>
        <w:tc>
          <w:tcPr>
            <w:tcW w:w="5829" w:type="dxa"/>
            <w:gridSpan w:val="6"/>
            <w:vAlign w:val="center"/>
          </w:tcPr>
          <w:p>
            <w:pPr>
              <w:pStyle w:val="59"/>
              <w:ind w:firstLine="315"/>
              <w:rPr>
                <w:color w:val="auto"/>
                <w:sz w:val="21"/>
              </w:rPr>
            </w:pPr>
            <w:r>
              <w:rPr>
                <w:rFonts w:hint="eastAsia"/>
                <w:color w:val="auto"/>
                <w:sz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62" w:hRule="exact"/>
          <w:jc w:val="center"/>
        </w:trPr>
        <w:tc>
          <w:tcPr>
            <w:tcW w:w="1802" w:type="dxa"/>
            <w:vAlign w:val="center"/>
          </w:tcPr>
          <w:p>
            <w:pPr>
              <w:pStyle w:val="59"/>
              <w:ind w:firstLine="315"/>
              <w:rPr>
                <w:color w:val="auto"/>
                <w:sz w:val="21"/>
              </w:rPr>
            </w:pPr>
            <w:r>
              <w:rPr>
                <w:rFonts w:hint="eastAsia"/>
                <w:color w:val="auto"/>
                <w:sz w:val="21"/>
              </w:rPr>
              <w:t>企业资质</w:t>
            </w:r>
          </w:p>
        </w:tc>
        <w:tc>
          <w:tcPr>
            <w:tcW w:w="1914" w:type="dxa"/>
            <w:gridSpan w:val="2"/>
            <w:vAlign w:val="center"/>
          </w:tcPr>
          <w:p>
            <w:pPr>
              <w:pStyle w:val="59"/>
              <w:ind w:firstLine="315"/>
              <w:rPr>
                <w:color w:val="auto"/>
                <w:sz w:val="21"/>
              </w:rPr>
            </w:pPr>
          </w:p>
        </w:tc>
        <w:tc>
          <w:tcPr>
            <w:tcW w:w="1469" w:type="dxa"/>
            <w:vMerge w:val="restart"/>
            <w:vAlign w:val="center"/>
          </w:tcPr>
          <w:p>
            <w:pPr>
              <w:pStyle w:val="59"/>
              <w:ind w:firstLine="315"/>
              <w:rPr>
                <w:color w:val="auto"/>
                <w:sz w:val="21"/>
              </w:rPr>
            </w:pPr>
            <w:r>
              <w:rPr>
                <w:rFonts w:hint="eastAsia"/>
                <w:color w:val="auto"/>
                <w:sz w:val="21"/>
              </w:rPr>
              <w:t>其中</w:t>
            </w:r>
          </w:p>
        </w:tc>
        <w:tc>
          <w:tcPr>
            <w:tcW w:w="2198" w:type="dxa"/>
            <w:gridSpan w:val="3"/>
            <w:vAlign w:val="center"/>
          </w:tcPr>
          <w:p>
            <w:pPr>
              <w:pStyle w:val="59"/>
              <w:ind w:firstLine="315"/>
              <w:rPr>
                <w:color w:val="auto"/>
                <w:sz w:val="21"/>
              </w:rPr>
            </w:pPr>
            <w:r>
              <w:rPr>
                <w:rFonts w:hint="eastAsia"/>
                <w:color w:val="auto"/>
                <w:sz w:val="21"/>
              </w:rPr>
              <w:t>项目负责人</w:t>
            </w:r>
          </w:p>
        </w:tc>
        <w:tc>
          <w:tcPr>
            <w:tcW w:w="2162" w:type="dxa"/>
            <w:gridSpan w:val="2"/>
            <w:vAlign w:val="center"/>
          </w:tcPr>
          <w:p>
            <w:pPr>
              <w:pStyle w:val="59"/>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62" w:hRule="exact"/>
          <w:jc w:val="center"/>
        </w:trPr>
        <w:tc>
          <w:tcPr>
            <w:tcW w:w="1802" w:type="dxa"/>
            <w:vAlign w:val="center"/>
          </w:tcPr>
          <w:p>
            <w:pPr>
              <w:pStyle w:val="59"/>
              <w:ind w:firstLine="315"/>
              <w:rPr>
                <w:color w:val="auto"/>
                <w:sz w:val="21"/>
              </w:rPr>
            </w:pPr>
            <w:r>
              <w:rPr>
                <w:rFonts w:hint="eastAsia"/>
                <w:color w:val="auto"/>
                <w:sz w:val="21"/>
              </w:rPr>
              <w:t>营业执照号</w:t>
            </w:r>
          </w:p>
        </w:tc>
        <w:tc>
          <w:tcPr>
            <w:tcW w:w="1914" w:type="dxa"/>
            <w:gridSpan w:val="2"/>
            <w:vAlign w:val="center"/>
          </w:tcPr>
          <w:p>
            <w:pPr>
              <w:pStyle w:val="59"/>
              <w:ind w:firstLine="315"/>
              <w:rPr>
                <w:color w:val="auto"/>
                <w:sz w:val="21"/>
              </w:rPr>
            </w:pPr>
          </w:p>
        </w:tc>
        <w:tc>
          <w:tcPr>
            <w:tcW w:w="1469" w:type="dxa"/>
            <w:vMerge w:val="continue"/>
            <w:vAlign w:val="center"/>
          </w:tcPr>
          <w:p>
            <w:pPr>
              <w:pStyle w:val="59"/>
              <w:ind w:firstLine="315"/>
              <w:rPr>
                <w:color w:val="auto"/>
                <w:sz w:val="21"/>
              </w:rPr>
            </w:pPr>
          </w:p>
        </w:tc>
        <w:tc>
          <w:tcPr>
            <w:tcW w:w="2198" w:type="dxa"/>
            <w:gridSpan w:val="3"/>
            <w:vAlign w:val="center"/>
          </w:tcPr>
          <w:p>
            <w:pPr>
              <w:pStyle w:val="59"/>
              <w:ind w:firstLine="315"/>
              <w:rPr>
                <w:color w:val="auto"/>
                <w:sz w:val="21"/>
              </w:rPr>
            </w:pPr>
            <w:r>
              <w:rPr>
                <w:rFonts w:hint="eastAsia"/>
                <w:color w:val="auto"/>
                <w:sz w:val="21"/>
              </w:rPr>
              <w:t>高级职称人员</w:t>
            </w:r>
          </w:p>
        </w:tc>
        <w:tc>
          <w:tcPr>
            <w:tcW w:w="2162" w:type="dxa"/>
            <w:gridSpan w:val="2"/>
            <w:vAlign w:val="center"/>
          </w:tcPr>
          <w:p>
            <w:pPr>
              <w:pStyle w:val="59"/>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62" w:hRule="exact"/>
          <w:jc w:val="center"/>
        </w:trPr>
        <w:tc>
          <w:tcPr>
            <w:tcW w:w="1802" w:type="dxa"/>
            <w:vAlign w:val="center"/>
          </w:tcPr>
          <w:p>
            <w:pPr>
              <w:pStyle w:val="59"/>
              <w:ind w:firstLine="315"/>
              <w:rPr>
                <w:color w:val="auto"/>
                <w:sz w:val="21"/>
              </w:rPr>
            </w:pPr>
            <w:r>
              <w:rPr>
                <w:rFonts w:hint="eastAsia"/>
                <w:color w:val="auto"/>
                <w:sz w:val="21"/>
              </w:rPr>
              <w:t>注册资金</w:t>
            </w:r>
          </w:p>
        </w:tc>
        <w:tc>
          <w:tcPr>
            <w:tcW w:w="1914" w:type="dxa"/>
            <w:gridSpan w:val="2"/>
            <w:vAlign w:val="center"/>
          </w:tcPr>
          <w:p>
            <w:pPr>
              <w:pStyle w:val="59"/>
              <w:ind w:firstLine="315"/>
              <w:rPr>
                <w:color w:val="auto"/>
                <w:sz w:val="21"/>
              </w:rPr>
            </w:pPr>
          </w:p>
        </w:tc>
        <w:tc>
          <w:tcPr>
            <w:tcW w:w="1469" w:type="dxa"/>
            <w:vMerge w:val="continue"/>
            <w:vAlign w:val="center"/>
          </w:tcPr>
          <w:p>
            <w:pPr>
              <w:pStyle w:val="59"/>
              <w:ind w:firstLine="315"/>
              <w:rPr>
                <w:color w:val="auto"/>
                <w:sz w:val="21"/>
              </w:rPr>
            </w:pPr>
          </w:p>
        </w:tc>
        <w:tc>
          <w:tcPr>
            <w:tcW w:w="2198" w:type="dxa"/>
            <w:gridSpan w:val="3"/>
            <w:vAlign w:val="center"/>
          </w:tcPr>
          <w:p>
            <w:pPr>
              <w:pStyle w:val="59"/>
              <w:ind w:firstLine="315"/>
              <w:rPr>
                <w:color w:val="auto"/>
                <w:sz w:val="21"/>
              </w:rPr>
            </w:pPr>
            <w:r>
              <w:rPr>
                <w:rFonts w:hint="eastAsia"/>
                <w:color w:val="auto"/>
                <w:sz w:val="21"/>
              </w:rPr>
              <w:t>中级职称人员</w:t>
            </w:r>
          </w:p>
        </w:tc>
        <w:tc>
          <w:tcPr>
            <w:tcW w:w="2162" w:type="dxa"/>
            <w:gridSpan w:val="2"/>
            <w:vAlign w:val="center"/>
          </w:tcPr>
          <w:p>
            <w:pPr>
              <w:pStyle w:val="59"/>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62" w:hRule="exact"/>
          <w:jc w:val="center"/>
        </w:trPr>
        <w:tc>
          <w:tcPr>
            <w:tcW w:w="1802" w:type="dxa"/>
            <w:vAlign w:val="center"/>
          </w:tcPr>
          <w:p>
            <w:pPr>
              <w:pStyle w:val="59"/>
              <w:ind w:firstLineChars="0"/>
              <w:jc w:val="center"/>
              <w:rPr>
                <w:color w:val="auto"/>
                <w:sz w:val="21"/>
              </w:rPr>
            </w:pPr>
            <w:r>
              <w:rPr>
                <w:rFonts w:hint="eastAsia"/>
                <w:color w:val="auto"/>
                <w:sz w:val="21"/>
              </w:rPr>
              <w:t>基本账户开户</w:t>
            </w:r>
          </w:p>
          <w:p>
            <w:pPr>
              <w:pStyle w:val="59"/>
              <w:ind w:firstLineChars="0"/>
              <w:jc w:val="center"/>
              <w:rPr>
                <w:color w:val="auto"/>
                <w:sz w:val="21"/>
              </w:rPr>
            </w:pPr>
            <w:r>
              <w:rPr>
                <w:rFonts w:hint="eastAsia"/>
                <w:color w:val="auto"/>
                <w:sz w:val="21"/>
              </w:rPr>
              <w:t>银行</w:t>
            </w:r>
          </w:p>
        </w:tc>
        <w:tc>
          <w:tcPr>
            <w:tcW w:w="1914" w:type="dxa"/>
            <w:gridSpan w:val="2"/>
            <w:vAlign w:val="center"/>
          </w:tcPr>
          <w:p>
            <w:pPr>
              <w:pStyle w:val="59"/>
              <w:ind w:firstLine="315"/>
              <w:rPr>
                <w:color w:val="auto"/>
                <w:sz w:val="21"/>
              </w:rPr>
            </w:pPr>
          </w:p>
        </w:tc>
        <w:tc>
          <w:tcPr>
            <w:tcW w:w="1469" w:type="dxa"/>
            <w:vMerge w:val="continue"/>
            <w:vAlign w:val="center"/>
          </w:tcPr>
          <w:p>
            <w:pPr>
              <w:pStyle w:val="59"/>
              <w:ind w:firstLine="315"/>
              <w:rPr>
                <w:color w:val="auto"/>
                <w:sz w:val="21"/>
              </w:rPr>
            </w:pPr>
          </w:p>
        </w:tc>
        <w:tc>
          <w:tcPr>
            <w:tcW w:w="2198" w:type="dxa"/>
            <w:gridSpan w:val="3"/>
            <w:vAlign w:val="center"/>
          </w:tcPr>
          <w:p>
            <w:pPr>
              <w:pStyle w:val="59"/>
              <w:ind w:firstLine="315"/>
              <w:rPr>
                <w:color w:val="auto"/>
                <w:sz w:val="21"/>
              </w:rPr>
            </w:pPr>
            <w:r>
              <w:rPr>
                <w:rFonts w:hint="eastAsia"/>
                <w:color w:val="auto"/>
                <w:sz w:val="21"/>
              </w:rPr>
              <w:t>初级职称人员</w:t>
            </w:r>
          </w:p>
        </w:tc>
        <w:tc>
          <w:tcPr>
            <w:tcW w:w="2162" w:type="dxa"/>
            <w:gridSpan w:val="2"/>
            <w:vAlign w:val="center"/>
          </w:tcPr>
          <w:p>
            <w:pPr>
              <w:pStyle w:val="59"/>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62" w:hRule="exact"/>
          <w:jc w:val="center"/>
        </w:trPr>
        <w:tc>
          <w:tcPr>
            <w:tcW w:w="1802" w:type="dxa"/>
            <w:vAlign w:val="center"/>
          </w:tcPr>
          <w:p>
            <w:pPr>
              <w:pStyle w:val="59"/>
              <w:ind w:firstLine="210" w:firstLineChars="100"/>
              <w:rPr>
                <w:color w:val="auto"/>
                <w:sz w:val="21"/>
              </w:rPr>
            </w:pPr>
            <w:r>
              <w:rPr>
                <w:rFonts w:hint="eastAsia"/>
                <w:color w:val="auto"/>
                <w:sz w:val="21"/>
              </w:rPr>
              <w:t>基本账户账号</w:t>
            </w:r>
          </w:p>
        </w:tc>
        <w:tc>
          <w:tcPr>
            <w:tcW w:w="1914" w:type="dxa"/>
            <w:gridSpan w:val="2"/>
            <w:vAlign w:val="center"/>
          </w:tcPr>
          <w:p>
            <w:pPr>
              <w:pStyle w:val="59"/>
              <w:ind w:firstLine="315"/>
              <w:rPr>
                <w:color w:val="auto"/>
                <w:sz w:val="21"/>
              </w:rPr>
            </w:pPr>
          </w:p>
        </w:tc>
        <w:tc>
          <w:tcPr>
            <w:tcW w:w="1469" w:type="dxa"/>
            <w:vMerge w:val="continue"/>
            <w:vAlign w:val="center"/>
          </w:tcPr>
          <w:p>
            <w:pPr>
              <w:pStyle w:val="59"/>
              <w:ind w:firstLine="315"/>
              <w:rPr>
                <w:color w:val="auto"/>
                <w:sz w:val="21"/>
              </w:rPr>
            </w:pPr>
          </w:p>
        </w:tc>
        <w:tc>
          <w:tcPr>
            <w:tcW w:w="2198" w:type="dxa"/>
            <w:gridSpan w:val="3"/>
            <w:vAlign w:val="center"/>
          </w:tcPr>
          <w:p>
            <w:pPr>
              <w:pStyle w:val="59"/>
              <w:ind w:firstLine="315"/>
              <w:rPr>
                <w:color w:val="auto"/>
                <w:sz w:val="21"/>
              </w:rPr>
            </w:pPr>
            <w:r>
              <w:rPr>
                <w:rFonts w:hint="eastAsia"/>
                <w:color w:val="auto"/>
                <w:sz w:val="21"/>
              </w:rPr>
              <w:t>其他</w:t>
            </w:r>
          </w:p>
        </w:tc>
        <w:tc>
          <w:tcPr>
            <w:tcW w:w="2162" w:type="dxa"/>
            <w:gridSpan w:val="2"/>
            <w:vAlign w:val="center"/>
          </w:tcPr>
          <w:p>
            <w:pPr>
              <w:pStyle w:val="59"/>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04" w:hRule="exact"/>
          <w:jc w:val="center"/>
        </w:trPr>
        <w:tc>
          <w:tcPr>
            <w:tcW w:w="1802" w:type="dxa"/>
            <w:vAlign w:val="center"/>
          </w:tcPr>
          <w:p>
            <w:pPr>
              <w:pStyle w:val="59"/>
              <w:ind w:firstLine="315"/>
              <w:rPr>
                <w:color w:val="auto"/>
                <w:sz w:val="21"/>
              </w:rPr>
            </w:pPr>
            <w:r>
              <w:rPr>
                <w:rFonts w:hint="eastAsia"/>
                <w:color w:val="auto"/>
                <w:sz w:val="21"/>
              </w:rPr>
              <w:t>经营范围</w:t>
            </w:r>
          </w:p>
        </w:tc>
        <w:tc>
          <w:tcPr>
            <w:tcW w:w="7743" w:type="dxa"/>
            <w:gridSpan w:val="8"/>
            <w:vAlign w:val="center"/>
          </w:tcPr>
          <w:p>
            <w:pPr>
              <w:pStyle w:val="59"/>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663" w:hRule="exact"/>
          <w:jc w:val="center"/>
        </w:trPr>
        <w:tc>
          <w:tcPr>
            <w:tcW w:w="1802" w:type="dxa"/>
            <w:vAlign w:val="center"/>
          </w:tcPr>
          <w:p>
            <w:pPr>
              <w:pStyle w:val="59"/>
              <w:ind w:firstLineChars="0"/>
              <w:jc w:val="center"/>
              <w:rPr>
                <w:color w:val="auto"/>
                <w:sz w:val="21"/>
              </w:rPr>
            </w:pPr>
            <w:r>
              <w:rPr>
                <w:rFonts w:hint="eastAsia"/>
                <w:color w:val="auto"/>
                <w:sz w:val="21"/>
              </w:rPr>
              <w:t>资产构成情况及投标人投资参股的关联企业情况</w:t>
            </w:r>
          </w:p>
        </w:tc>
        <w:tc>
          <w:tcPr>
            <w:tcW w:w="7743" w:type="dxa"/>
            <w:gridSpan w:val="8"/>
            <w:vAlign w:val="center"/>
          </w:tcPr>
          <w:p>
            <w:pPr>
              <w:pStyle w:val="59"/>
              <w:ind w:firstLine="315"/>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61" w:hRule="exact"/>
          <w:jc w:val="center"/>
        </w:trPr>
        <w:tc>
          <w:tcPr>
            <w:tcW w:w="1802" w:type="dxa"/>
            <w:tcBorders>
              <w:bottom w:val="single" w:color="000000" w:sz="12" w:space="0"/>
            </w:tcBorders>
            <w:vAlign w:val="center"/>
          </w:tcPr>
          <w:p>
            <w:pPr>
              <w:pStyle w:val="59"/>
              <w:ind w:firstLine="315"/>
              <w:jc w:val="center"/>
              <w:rPr>
                <w:color w:val="auto"/>
                <w:sz w:val="21"/>
              </w:rPr>
            </w:pPr>
            <w:r>
              <w:rPr>
                <w:rFonts w:hint="eastAsia"/>
                <w:color w:val="auto"/>
                <w:sz w:val="21"/>
              </w:rPr>
              <w:t>备</w:t>
            </w:r>
            <w:r>
              <w:rPr>
                <w:color w:val="auto"/>
                <w:sz w:val="21"/>
              </w:rPr>
              <w:t xml:space="preserve">    </w:t>
            </w:r>
            <w:r>
              <w:rPr>
                <w:rFonts w:hint="eastAsia"/>
                <w:color w:val="auto"/>
                <w:sz w:val="21"/>
              </w:rPr>
              <w:t>注</w:t>
            </w:r>
          </w:p>
        </w:tc>
        <w:tc>
          <w:tcPr>
            <w:tcW w:w="7743" w:type="dxa"/>
            <w:gridSpan w:val="8"/>
            <w:tcBorders>
              <w:bottom w:val="single" w:color="000000" w:sz="12" w:space="0"/>
            </w:tcBorders>
            <w:vAlign w:val="center"/>
          </w:tcPr>
          <w:p>
            <w:pPr>
              <w:pStyle w:val="59"/>
              <w:ind w:firstLine="315"/>
              <w:rPr>
                <w:color w:val="auto"/>
                <w:sz w:val="21"/>
              </w:rPr>
            </w:pPr>
          </w:p>
        </w:tc>
      </w:tr>
    </w:tbl>
    <w:p>
      <w:pPr>
        <w:widowControl/>
        <w:jc w:val="left"/>
        <w:rPr>
          <w:rFonts w:ascii="宋体" w:hAnsi="宋体" w:cs="宋体"/>
          <w:kern w:val="0"/>
          <w:sz w:val="24"/>
        </w:rPr>
        <w:sectPr>
          <w:footerReference r:id="rId9" w:type="default"/>
          <w:pgSz w:w="11907" w:h="16840"/>
          <w:pgMar w:top="1440" w:right="1531" w:bottom="1440" w:left="1928" w:header="851" w:footer="1304" w:gutter="0"/>
          <w:pgNumType w:fmt="numberInDash"/>
          <w:cols w:space="720" w:num="1"/>
          <w:docGrid w:type="linesAndChars" w:linePitch="312" w:charSpace="0"/>
        </w:sectPr>
      </w:pPr>
      <w:r>
        <w:rPr>
          <w:rFonts w:hint="eastAsia" w:ascii="宋体" w:hAnsi="宋体" w:cs="宋体"/>
          <w:kern w:val="0"/>
          <w:sz w:val="24"/>
        </w:rPr>
        <w:t>1、本表后应附《浙江省病媒生物预防控制服务单位备案确认书》复印件。</w:t>
      </w:r>
    </w:p>
    <w:p>
      <w:pPr>
        <w:widowControl/>
        <w:jc w:val="left"/>
        <w:rPr>
          <w:rFonts w:ascii="宋体"/>
          <w:b/>
          <w:bCs/>
          <w:sz w:val="28"/>
          <w:szCs w:val="28"/>
        </w:rPr>
      </w:pPr>
      <w:r>
        <w:rPr>
          <w:rFonts w:hint="eastAsia" w:ascii="宋体" w:hAnsi="宋体" w:cs="宋体"/>
          <w:b/>
          <w:bCs/>
          <w:sz w:val="24"/>
          <w:szCs w:val="24"/>
        </w:rPr>
        <w:t>附件3：</w:t>
      </w:r>
    </w:p>
    <w:p>
      <w:pPr>
        <w:pStyle w:val="47"/>
        <w:spacing w:line="360" w:lineRule="auto"/>
        <w:jc w:val="center"/>
        <w:rPr>
          <w:rFonts w:ascii="宋体"/>
          <w:b/>
          <w:bCs/>
          <w:spacing w:val="21"/>
          <w:kern w:val="0"/>
          <w:sz w:val="32"/>
          <w:szCs w:val="32"/>
        </w:rPr>
      </w:pPr>
      <w:r>
        <w:rPr>
          <w:rFonts w:hint="eastAsia" w:ascii="宋体" w:hAnsi="宋体" w:cs="宋体"/>
          <w:b/>
          <w:bCs/>
          <w:spacing w:val="21"/>
          <w:kern w:val="0"/>
          <w:sz w:val="32"/>
          <w:szCs w:val="32"/>
        </w:rPr>
        <w:t>证书一览表</w:t>
      </w:r>
    </w:p>
    <w:tbl>
      <w:tblPr>
        <w:tblStyle w:val="20"/>
        <w:tblW w:w="89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2388"/>
        <w:gridCol w:w="2390"/>
        <w:gridCol w:w="21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75" w:type="dxa"/>
            <w:tcBorders>
              <w:top w:val="double" w:color="auto" w:sz="4" w:space="0"/>
              <w:left w:val="double" w:color="auto" w:sz="4" w:space="0"/>
            </w:tcBorders>
          </w:tcPr>
          <w:p>
            <w:pPr>
              <w:pStyle w:val="47"/>
              <w:spacing w:line="360" w:lineRule="auto"/>
              <w:jc w:val="center"/>
              <w:rPr>
                <w:rFonts w:ascii="宋体"/>
                <w:b/>
                <w:bCs/>
                <w:sz w:val="24"/>
                <w:szCs w:val="24"/>
              </w:rPr>
            </w:pPr>
            <w:r>
              <w:rPr>
                <w:rFonts w:hint="eastAsia" w:ascii="宋体" w:hAnsi="宋体" w:cs="宋体"/>
                <w:b/>
                <w:bCs/>
                <w:sz w:val="24"/>
                <w:szCs w:val="24"/>
              </w:rPr>
              <w:t>证书名称</w:t>
            </w:r>
          </w:p>
        </w:tc>
        <w:tc>
          <w:tcPr>
            <w:tcW w:w="2388" w:type="dxa"/>
            <w:tcBorders>
              <w:top w:val="double" w:color="auto" w:sz="4" w:space="0"/>
            </w:tcBorders>
          </w:tcPr>
          <w:p>
            <w:pPr>
              <w:pStyle w:val="47"/>
              <w:spacing w:line="360" w:lineRule="auto"/>
              <w:jc w:val="center"/>
              <w:rPr>
                <w:rFonts w:ascii="宋体"/>
                <w:b/>
                <w:bCs/>
                <w:sz w:val="24"/>
                <w:szCs w:val="24"/>
              </w:rPr>
            </w:pPr>
            <w:r>
              <w:rPr>
                <w:rFonts w:hint="eastAsia" w:ascii="宋体" w:hAnsi="宋体" w:cs="宋体"/>
                <w:b/>
                <w:bCs/>
                <w:sz w:val="24"/>
                <w:szCs w:val="24"/>
              </w:rPr>
              <w:t>发证单位</w:t>
            </w:r>
          </w:p>
        </w:tc>
        <w:tc>
          <w:tcPr>
            <w:tcW w:w="2390" w:type="dxa"/>
            <w:tcBorders>
              <w:top w:val="double" w:color="auto" w:sz="4" w:space="0"/>
            </w:tcBorders>
          </w:tcPr>
          <w:p>
            <w:pPr>
              <w:pStyle w:val="47"/>
              <w:spacing w:line="360" w:lineRule="auto"/>
              <w:jc w:val="center"/>
              <w:rPr>
                <w:rFonts w:ascii="宋体"/>
                <w:b/>
                <w:bCs/>
                <w:sz w:val="24"/>
                <w:szCs w:val="24"/>
              </w:rPr>
            </w:pPr>
            <w:r>
              <w:rPr>
                <w:rFonts w:hint="eastAsia" w:ascii="宋体" w:hAnsi="宋体" w:cs="宋体"/>
                <w:b/>
                <w:bCs/>
                <w:sz w:val="24"/>
                <w:szCs w:val="24"/>
              </w:rPr>
              <w:t>证书等级</w:t>
            </w:r>
          </w:p>
        </w:tc>
        <w:tc>
          <w:tcPr>
            <w:tcW w:w="2165" w:type="dxa"/>
            <w:tcBorders>
              <w:top w:val="double" w:color="auto" w:sz="4" w:space="0"/>
              <w:right w:val="double" w:color="auto" w:sz="4" w:space="0"/>
            </w:tcBorders>
          </w:tcPr>
          <w:p>
            <w:pPr>
              <w:pStyle w:val="47"/>
              <w:spacing w:line="360" w:lineRule="auto"/>
              <w:jc w:val="center"/>
              <w:rPr>
                <w:rFonts w:ascii="宋体"/>
                <w:b/>
                <w:bCs/>
                <w:sz w:val="24"/>
                <w:szCs w:val="24"/>
              </w:rPr>
            </w:pPr>
            <w:r>
              <w:rPr>
                <w:rFonts w:hint="eastAsia" w:ascii="宋体" w:hAnsi="宋体" w:cs="宋体"/>
                <w:b/>
                <w:bCs/>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tcPr>
          <w:p>
            <w:pPr>
              <w:pStyle w:val="47"/>
              <w:spacing w:line="360" w:lineRule="auto"/>
              <w:jc w:val="center"/>
              <w:rPr>
                <w:rFonts w:ascii="宋体"/>
              </w:rPr>
            </w:pPr>
          </w:p>
        </w:tc>
        <w:tc>
          <w:tcPr>
            <w:tcW w:w="2388" w:type="dxa"/>
          </w:tcPr>
          <w:p>
            <w:pPr>
              <w:pStyle w:val="47"/>
              <w:spacing w:line="360" w:lineRule="auto"/>
              <w:jc w:val="center"/>
              <w:rPr>
                <w:rFonts w:ascii="宋体"/>
              </w:rPr>
            </w:pPr>
          </w:p>
        </w:tc>
        <w:tc>
          <w:tcPr>
            <w:tcW w:w="2390" w:type="dxa"/>
          </w:tcPr>
          <w:p>
            <w:pPr>
              <w:pStyle w:val="47"/>
              <w:spacing w:line="360" w:lineRule="auto"/>
              <w:jc w:val="center"/>
              <w:rPr>
                <w:rFonts w:ascii="宋体"/>
              </w:rPr>
            </w:pPr>
          </w:p>
        </w:tc>
        <w:tc>
          <w:tcPr>
            <w:tcW w:w="2165" w:type="dxa"/>
            <w:tcBorders>
              <w:right w:val="double" w:color="auto" w:sz="4" w:space="0"/>
            </w:tcBorders>
          </w:tcPr>
          <w:p>
            <w:pPr>
              <w:pStyle w:val="47"/>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tcPr>
          <w:p>
            <w:pPr>
              <w:pStyle w:val="47"/>
              <w:spacing w:line="360" w:lineRule="auto"/>
              <w:jc w:val="center"/>
              <w:rPr>
                <w:rFonts w:ascii="宋体"/>
              </w:rPr>
            </w:pPr>
          </w:p>
        </w:tc>
        <w:tc>
          <w:tcPr>
            <w:tcW w:w="2388" w:type="dxa"/>
          </w:tcPr>
          <w:p>
            <w:pPr>
              <w:pStyle w:val="47"/>
              <w:spacing w:line="360" w:lineRule="auto"/>
              <w:jc w:val="center"/>
              <w:rPr>
                <w:rFonts w:ascii="宋体"/>
              </w:rPr>
            </w:pPr>
          </w:p>
        </w:tc>
        <w:tc>
          <w:tcPr>
            <w:tcW w:w="2390" w:type="dxa"/>
          </w:tcPr>
          <w:p>
            <w:pPr>
              <w:pStyle w:val="47"/>
              <w:spacing w:line="360" w:lineRule="auto"/>
              <w:jc w:val="center"/>
              <w:rPr>
                <w:rFonts w:ascii="宋体"/>
              </w:rPr>
            </w:pPr>
          </w:p>
        </w:tc>
        <w:tc>
          <w:tcPr>
            <w:tcW w:w="2165" w:type="dxa"/>
            <w:tcBorders>
              <w:right w:val="double" w:color="auto" w:sz="4" w:space="0"/>
            </w:tcBorders>
          </w:tcPr>
          <w:p>
            <w:pPr>
              <w:pStyle w:val="47"/>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tcPr>
          <w:p>
            <w:pPr>
              <w:pStyle w:val="47"/>
              <w:spacing w:line="360" w:lineRule="auto"/>
              <w:jc w:val="center"/>
              <w:rPr>
                <w:rFonts w:ascii="宋体"/>
              </w:rPr>
            </w:pPr>
          </w:p>
        </w:tc>
        <w:tc>
          <w:tcPr>
            <w:tcW w:w="2388" w:type="dxa"/>
          </w:tcPr>
          <w:p>
            <w:pPr>
              <w:pStyle w:val="47"/>
              <w:spacing w:line="360" w:lineRule="auto"/>
              <w:jc w:val="center"/>
              <w:rPr>
                <w:rFonts w:ascii="宋体"/>
              </w:rPr>
            </w:pPr>
          </w:p>
        </w:tc>
        <w:tc>
          <w:tcPr>
            <w:tcW w:w="2390" w:type="dxa"/>
          </w:tcPr>
          <w:p>
            <w:pPr>
              <w:pStyle w:val="47"/>
              <w:spacing w:line="360" w:lineRule="auto"/>
              <w:jc w:val="center"/>
              <w:rPr>
                <w:rFonts w:ascii="宋体"/>
              </w:rPr>
            </w:pPr>
          </w:p>
        </w:tc>
        <w:tc>
          <w:tcPr>
            <w:tcW w:w="2165" w:type="dxa"/>
            <w:tcBorders>
              <w:right w:val="double" w:color="auto" w:sz="4" w:space="0"/>
            </w:tcBorders>
          </w:tcPr>
          <w:p>
            <w:pPr>
              <w:pStyle w:val="47"/>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tcPr>
          <w:p>
            <w:pPr>
              <w:pStyle w:val="47"/>
              <w:spacing w:line="360" w:lineRule="auto"/>
              <w:jc w:val="center"/>
              <w:rPr>
                <w:rFonts w:ascii="宋体"/>
              </w:rPr>
            </w:pPr>
          </w:p>
        </w:tc>
        <w:tc>
          <w:tcPr>
            <w:tcW w:w="2388" w:type="dxa"/>
          </w:tcPr>
          <w:p>
            <w:pPr>
              <w:pStyle w:val="47"/>
              <w:spacing w:line="360" w:lineRule="auto"/>
              <w:jc w:val="center"/>
              <w:rPr>
                <w:rFonts w:ascii="宋体"/>
              </w:rPr>
            </w:pPr>
          </w:p>
        </w:tc>
        <w:tc>
          <w:tcPr>
            <w:tcW w:w="2390" w:type="dxa"/>
          </w:tcPr>
          <w:p>
            <w:pPr>
              <w:pStyle w:val="47"/>
              <w:spacing w:line="360" w:lineRule="auto"/>
              <w:jc w:val="center"/>
              <w:rPr>
                <w:rFonts w:ascii="宋体"/>
              </w:rPr>
            </w:pPr>
          </w:p>
        </w:tc>
        <w:tc>
          <w:tcPr>
            <w:tcW w:w="2165" w:type="dxa"/>
            <w:tcBorders>
              <w:right w:val="double" w:color="auto" w:sz="4" w:space="0"/>
            </w:tcBorders>
          </w:tcPr>
          <w:p>
            <w:pPr>
              <w:pStyle w:val="47"/>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tcPr>
          <w:p>
            <w:pPr>
              <w:pStyle w:val="47"/>
              <w:spacing w:line="360" w:lineRule="auto"/>
              <w:jc w:val="center"/>
              <w:rPr>
                <w:rFonts w:ascii="宋体"/>
              </w:rPr>
            </w:pPr>
          </w:p>
        </w:tc>
        <w:tc>
          <w:tcPr>
            <w:tcW w:w="2388" w:type="dxa"/>
          </w:tcPr>
          <w:p>
            <w:pPr>
              <w:pStyle w:val="47"/>
              <w:spacing w:line="360" w:lineRule="auto"/>
              <w:jc w:val="center"/>
              <w:rPr>
                <w:rFonts w:ascii="宋体"/>
              </w:rPr>
            </w:pPr>
          </w:p>
        </w:tc>
        <w:tc>
          <w:tcPr>
            <w:tcW w:w="2390" w:type="dxa"/>
          </w:tcPr>
          <w:p>
            <w:pPr>
              <w:pStyle w:val="47"/>
              <w:spacing w:line="360" w:lineRule="auto"/>
              <w:jc w:val="center"/>
              <w:rPr>
                <w:rFonts w:ascii="宋体"/>
              </w:rPr>
            </w:pPr>
          </w:p>
        </w:tc>
        <w:tc>
          <w:tcPr>
            <w:tcW w:w="2165" w:type="dxa"/>
            <w:tcBorders>
              <w:right w:val="double" w:color="auto" w:sz="4" w:space="0"/>
            </w:tcBorders>
          </w:tcPr>
          <w:p>
            <w:pPr>
              <w:pStyle w:val="47"/>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tcPr>
          <w:p>
            <w:pPr>
              <w:pStyle w:val="47"/>
              <w:spacing w:line="360" w:lineRule="auto"/>
              <w:jc w:val="center"/>
              <w:rPr>
                <w:rFonts w:ascii="宋体"/>
              </w:rPr>
            </w:pPr>
          </w:p>
        </w:tc>
        <w:tc>
          <w:tcPr>
            <w:tcW w:w="2388" w:type="dxa"/>
          </w:tcPr>
          <w:p>
            <w:pPr>
              <w:pStyle w:val="47"/>
              <w:spacing w:line="360" w:lineRule="auto"/>
              <w:jc w:val="center"/>
              <w:rPr>
                <w:rFonts w:ascii="宋体"/>
              </w:rPr>
            </w:pPr>
          </w:p>
        </w:tc>
        <w:tc>
          <w:tcPr>
            <w:tcW w:w="2390" w:type="dxa"/>
          </w:tcPr>
          <w:p>
            <w:pPr>
              <w:pStyle w:val="47"/>
              <w:spacing w:line="360" w:lineRule="auto"/>
              <w:jc w:val="center"/>
              <w:rPr>
                <w:rFonts w:ascii="宋体"/>
              </w:rPr>
            </w:pPr>
          </w:p>
        </w:tc>
        <w:tc>
          <w:tcPr>
            <w:tcW w:w="2165" w:type="dxa"/>
            <w:tcBorders>
              <w:right w:val="double" w:color="auto" w:sz="4" w:space="0"/>
            </w:tcBorders>
          </w:tcPr>
          <w:p>
            <w:pPr>
              <w:pStyle w:val="47"/>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975" w:type="dxa"/>
            <w:tcBorders>
              <w:left w:val="double" w:color="auto" w:sz="4" w:space="0"/>
              <w:bottom w:val="double" w:color="auto" w:sz="4" w:space="0"/>
            </w:tcBorders>
          </w:tcPr>
          <w:p>
            <w:pPr>
              <w:pStyle w:val="47"/>
              <w:spacing w:line="360" w:lineRule="auto"/>
              <w:jc w:val="center"/>
              <w:rPr>
                <w:rFonts w:ascii="宋体"/>
              </w:rPr>
            </w:pPr>
          </w:p>
        </w:tc>
        <w:tc>
          <w:tcPr>
            <w:tcW w:w="2388" w:type="dxa"/>
            <w:tcBorders>
              <w:bottom w:val="double" w:color="auto" w:sz="4" w:space="0"/>
            </w:tcBorders>
          </w:tcPr>
          <w:p>
            <w:pPr>
              <w:pStyle w:val="47"/>
              <w:spacing w:line="360" w:lineRule="auto"/>
              <w:jc w:val="center"/>
              <w:rPr>
                <w:rFonts w:ascii="宋体"/>
              </w:rPr>
            </w:pPr>
          </w:p>
        </w:tc>
        <w:tc>
          <w:tcPr>
            <w:tcW w:w="2390" w:type="dxa"/>
            <w:tcBorders>
              <w:bottom w:val="double" w:color="auto" w:sz="4" w:space="0"/>
            </w:tcBorders>
          </w:tcPr>
          <w:p>
            <w:pPr>
              <w:pStyle w:val="47"/>
              <w:spacing w:line="360" w:lineRule="auto"/>
              <w:jc w:val="center"/>
              <w:rPr>
                <w:rFonts w:ascii="宋体"/>
              </w:rPr>
            </w:pPr>
          </w:p>
        </w:tc>
        <w:tc>
          <w:tcPr>
            <w:tcW w:w="2165" w:type="dxa"/>
            <w:tcBorders>
              <w:bottom w:val="double" w:color="auto" w:sz="4" w:space="0"/>
              <w:right w:val="double" w:color="auto" w:sz="4" w:space="0"/>
            </w:tcBorders>
          </w:tcPr>
          <w:p>
            <w:pPr>
              <w:pStyle w:val="47"/>
              <w:spacing w:line="360" w:lineRule="auto"/>
              <w:jc w:val="center"/>
              <w:rPr>
                <w:rFonts w:ascii="宋体"/>
              </w:rPr>
            </w:pPr>
          </w:p>
        </w:tc>
      </w:tr>
    </w:tbl>
    <w:p>
      <w:pPr>
        <w:pStyle w:val="47"/>
        <w:tabs>
          <w:tab w:val="left" w:pos="1050"/>
        </w:tabs>
        <w:spacing w:line="360" w:lineRule="auto"/>
        <w:rPr>
          <w:rFonts w:ascii="仿宋_GB2312" w:hAnsi="宋体" w:eastAsia="仿宋_GB2312"/>
          <w:sz w:val="24"/>
          <w:szCs w:val="24"/>
        </w:rPr>
      </w:pPr>
    </w:p>
    <w:p>
      <w:pPr>
        <w:pStyle w:val="47"/>
        <w:tabs>
          <w:tab w:val="left" w:pos="1050"/>
        </w:tabs>
        <w:spacing w:line="360" w:lineRule="auto"/>
        <w:rPr>
          <w:rFonts w:ascii="宋体"/>
        </w:rPr>
      </w:pPr>
      <w:r>
        <w:rPr>
          <w:rFonts w:hint="eastAsia" w:ascii="宋体" w:hAnsi="宋体" w:cs="宋体"/>
          <w:b/>
          <w:bCs/>
        </w:rPr>
        <w:t>要求：</w:t>
      </w:r>
    </w:p>
    <w:p>
      <w:pPr>
        <w:pStyle w:val="47"/>
        <w:tabs>
          <w:tab w:val="left" w:pos="1050"/>
        </w:tabs>
        <w:spacing w:line="360" w:lineRule="auto"/>
        <w:ind w:firstLine="424" w:firstLineChars="202"/>
        <w:rPr>
          <w:rFonts w:ascii="宋体"/>
        </w:rPr>
      </w:pPr>
      <w:r>
        <w:rPr>
          <w:rFonts w:ascii="宋体" w:hAnsi="宋体" w:cs="宋体"/>
        </w:rPr>
        <w:t>1.</w:t>
      </w:r>
      <w:r>
        <w:rPr>
          <w:rFonts w:hint="eastAsia" w:ascii="宋体" w:hAnsi="宋体" w:cs="宋体"/>
        </w:rPr>
        <w:t>填写投标人获得资质、认证或企业信誉证书；</w:t>
      </w:r>
    </w:p>
    <w:p>
      <w:pPr>
        <w:pStyle w:val="47"/>
        <w:tabs>
          <w:tab w:val="left" w:pos="1050"/>
        </w:tabs>
        <w:spacing w:line="360" w:lineRule="auto"/>
        <w:ind w:firstLine="424" w:firstLineChars="202"/>
        <w:rPr>
          <w:rFonts w:ascii="宋体"/>
        </w:rPr>
      </w:pPr>
      <w:r>
        <w:rPr>
          <w:rFonts w:ascii="宋体" w:hAnsi="宋体" w:cs="宋体"/>
        </w:rPr>
        <w:t>2.</w:t>
      </w:r>
      <w:r>
        <w:rPr>
          <w:rFonts w:hint="eastAsia" w:ascii="宋体" w:hAnsi="宋体" w:cs="宋体"/>
        </w:rPr>
        <w:t>附所列证书复印件或其他证明材料。</w:t>
      </w:r>
    </w:p>
    <w:p>
      <w:pPr>
        <w:pStyle w:val="47"/>
        <w:tabs>
          <w:tab w:val="left" w:pos="1050"/>
        </w:tabs>
        <w:spacing w:line="360" w:lineRule="auto"/>
        <w:ind w:firstLine="720" w:firstLineChars="300"/>
        <w:rPr>
          <w:rFonts w:ascii="仿宋_GB2312" w:hAnsi="宋体" w:eastAsia="仿宋_GB2312"/>
          <w:sz w:val="24"/>
          <w:szCs w:val="24"/>
        </w:rPr>
      </w:pPr>
    </w:p>
    <w:p>
      <w:pPr>
        <w:pStyle w:val="47"/>
        <w:tabs>
          <w:tab w:val="left" w:pos="1050"/>
        </w:tabs>
        <w:spacing w:line="360" w:lineRule="auto"/>
        <w:ind w:firstLine="720" w:firstLineChars="300"/>
        <w:rPr>
          <w:rFonts w:ascii="仿宋_GB2312" w:hAnsi="宋体" w:eastAsia="仿宋_GB2312"/>
          <w:sz w:val="24"/>
          <w:szCs w:val="24"/>
        </w:rPr>
      </w:pPr>
    </w:p>
    <w:p>
      <w:pPr>
        <w:pStyle w:val="47"/>
        <w:tabs>
          <w:tab w:val="left" w:pos="1050"/>
        </w:tabs>
        <w:spacing w:line="360" w:lineRule="auto"/>
        <w:ind w:firstLine="720" w:firstLineChars="300"/>
        <w:rPr>
          <w:rFonts w:ascii="仿宋_GB2312" w:hAnsi="宋体" w:eastAsia="仿宋_GB2312"/>
          <w:sz w:val="24"/>
          <w:szCs w:val="24"/>
        </w:rPr>
      </w:pPr>
    </w:p>
    <w:p>
      <w:pPr>
        <w:spacing w:line="360" w:lineRule="auto"/>
        <w:ind w:firstLine="424" w:firstLineChars="177"/>
        <w:rPr>
          <w:rFonts w:ascii="宋体"/>
          <w:sz w:val="24"/>
          <w:szCs w:val="24"/>
          <w:u w:val="single"/>
        </w:rPr>
      </w:pPr>
      <w:r>
        <w:rPr>
          <w:rFonts w:hint="eastAsia" w:ascii="宋体" w:hAnsi="宋体" w:cs="宋体"/>
          <w:sz w:val="24"/>
          <w:szCs w:val="24"/>
        </w:rPr>
        <w:t>投标人名称（盖章）：</w:t>
      </w:r>
    </w:p>
    <w:p>
      <w:pPr>
        <w:spacing w:line="360" w:lineRule="auto"/>
        <w:ind w:left="420"/>
        <w:rPr>
          <w:rFonts w:ascii="宋体"/>
          <w:sz w:val="24"/>
          <w:szCs w:val="24"/>
        </w:rPr>
      </w:pPr>
    </w:p>
    <w:p>
      <w:pPr>
        <w:spacing w:line="360" w:lineRule="auto"/>
        <w:ind w:firstLine="424" w:firstLineChars="177"/>
        <w:rPr>
          <w:rFonts w:ascii="宋体"/>
          <w:sz w:val="24"/>
          <w:szCs w:val="24"/>
        </w:rPr>
      </w:pPr>
      <w:r>
        <w:rPr>
          <w:rFonts w:hint="eastAsia" w:ascii="宋体" w:hAnsi="宋体" w:cs="宋体"/>
          <w:sz w:val="24"/>
          <w:szCs w:val="24"/>
        </w:rPr>
        <w:t>法定代表人或代理人（签字或盖章）：</w:t>
      </w:r>
    </w:p>
    <w:p>
      <w:pPr>
        <w:spacing w:line="360" w:lineRule="auto"/>
        <w:rPr>
          <w:rFonts w:ascii="宋体"/>
          <w:sz w:val="24"/>
          <w:szCs w:val="24"/>
        </w:rPr>
      </w:pPr>
    </w:p>
    <w:p>
      <w:pPr>
        <w:pStyle w:val="43"/>
        <w:shd w:val="clear" w:color="auto" w:fill="FFFFFF"/>
        <w:spacing w:before="0" w:beforeAutospacing="0" w:after="0" w:afterAutospacing="0" w:line="360" w:lineRule="auto"/>
        <w:ind w:firstLine="424" w:firstLineChars="177"/>
        <w:rPr>
          <w:rFonts w:cs="Times New Roman"/>
          <w:b/>
          <w:bCs/>
          <w:spacing w:val="11"/>
        </w:rPr>
      </w:pPr>
      <w:r>
        <w:rPr>
          <w:rFonts w:hint="eastAsia"/>
        </w:rPr>
        <w:t>日</w:t>
      </w:r>
      <w:r>
        <w:t xml:space="preserve">        </w:t>
      </w:r>
      <w:r>
        <w:rPr>
          <w:rFonts w:hint="eastAsia"/>
        </w:rPr>
        <w:t>期</w:t>
      </w:r>
      <w:r>
        <w:rPr>
          <w:rFonts w:hint="eastAsia"/>
          <w:lang w:eastAsia="zh-CN"/>
        </w:rPr>
        <w:t>：</w:t>
      </w:r>
    </w:p>
    <w:p>
      <w:pPr>
        <w:widowControl/>
        <w:jc w:val="left"/>
        <w:rPr>
          <w:rFonts w:ascii="宋体"/>
          <w:b/>
          <w:bCs/>
          <w:sz w:val="28"/>
          <w:szCs w:val="28"/>
        </w:rPr>
        <w:sectPr>
          <w:pgSz w:w="11907" w:h="16840"/>
          <w:pgMar w:top="1440" w:right="1531" w:bottom="1440" w:left="1928" w:header="851" w:footer="1304" w:gutter="0"/>
          <w:pgNumType w:fmt="numberInDash"/>
          <w:cols w:space="720" w:num="1"/>
          <w:docGrid w:type="linesAndChars" w:linePitch="312" w:charSpace="0"/>
        </w:sectPr>
      </w:pPr>
    </w:p>
    <w:p>
      <w:pPr>
        <w:widowControl/>
        <w:jc w:val="left"/>
        <w:rPr>
          <w:rFonts w:ascii="宋体"/>
          <w:sz w:val="24"/>
          <w:szCs w:val="24"/>
        </w:rPr>
      </w:pPr>
      <w:r>
        <w:rPr>
          <w:rFonts w:hint="eastAsia" w:ascii="宋体" w:hAnsi="宋体" w:cs="宋体"/>
          <w:b/>
          <w:bCs/>
          <w:sz w:val="24"/>
          <w:szCs w:val="24"/>
        </w:rPr>
        <w:t>附件4:</w:t>
      </w:r>
    </w:p>
    <w:p>
      <w:pPr>
        <w:snapToGrid w:val="0"/>
        <w:spacing w:beforeLines="50" w:after="50" w:line="360" w:lineRule="auto"/>
        <w:jc w:val="center"/>
        <w:rPr>
          <w:rFonts w:ascii="宋体"/>
          <w:b/>
          <w:bCs/>
          <w:spacing w:val="21"/>
          <w:kern w:val="0"/>
          <w:sz w:val="32"/>
          <w:szCs w:val="32"/>
        </w:rPr>
      </w:pPr>
      <w:r>
        <w:rPr>
          <w:rFonts w:hint="eastAsia" w:ascii="宋体" w:hAnsi="宋体" w:cs="宋体"/>
          <w:b/>
          <w:bCs/>
          <w:spacing w:val="21"/>
          <w:kern w:val="0"/>
          <w:sz w:val="32"/>
          <w:szCs w:val="32"/>
        </w:rPr>
        <w:t>拟投入主要人员配备表</w:t>
      </w:r>
    </w:p>
    <w:p>
      <w:pPr>
        <w:snapToGrid w:val="0"/>
        <w:spacing w:beforeLines="50" w:after="50" w:line="360" w:lineRule="auto"/>
        <w:ind w:firstLine="2400" w:firstLineChars="1000"/>
        <w:rPr>
          <w:rFonts w:ascii="宋体"/>
          <w:sz w:val="24"/>
          <w:szCs w:val="24"/>
        </w:rPr>
      </w:pPr>
      <w:r>
        <w:rPr>
          <w:rFonts w:hint="eastAsia" w:ascii="宋体" w:hAnsi="宋体" w:cs="宋体"/>
          <w:sz w:val="24"/>
          <w:szCs w:val="24"/>
        </w:rPr>
        <w:t>（主要从业人员及其技术资格）</w:t>
      </w:r>
    </w:p>
    <w:tbl>
      <w:tblPr>
        <w:tblStyle w:val="20"/>
        <w:tblpPr w:leftFromText="180" w:rightFromText="180" w:vertAnchor="text" w:horzAnchor="page" w:tblpX="1102" w:tblpY="4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8"/>
        <w:gridCol w:w="1419"/>
        <w:gridCol w:w="1418"/>
        <w:gridCol w:w="1419"/>
        <w:gridCol w:w="1419"/>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9" w:type="dxa"/>
            <w:vAlign w:val="center"/>
          </w:tcPr>
          <w:p>
            <w:pPr>
              <w:pStyle w:val="57"/>
              <w:rPr>
                <w:rFonts w:hAnsi="宋体"/>
                <w:sz w:val="24"/>
                <w:szCs w:val="16"/>
              </w:rPr>
            </w:pPr>
            <w:r>
              <w:rPr>
                <w:rFonts w:hint="eastAsia" w:hAnsi="宋体"/>
                <w:sz w:val="24"/>
                <w:szCs w:val="16"/>
              </w:rPr>
              <w:t>岗位名称</w:t>
            </w:r>
          </w:p>
        </w:tc>
        <w:tc>
          <w:tcPr>
            <w:tcW w:w="1418" w:type="dxa"/>
            <w:vAlign w:val="center"/>
          </w:tcPr>
          <w:p>
            <w:pPr>
              <w:pStyle w:val="57"/>
              <w:rPr>
                <w:rFonts w:hAnsi="宋体"/>
                <w:sz w:val="24"/>
                <w:szCs w:val="16"/>
              </w:rPr>
            </w:pPr>
            <w:r>
              <w:rPr>
                <w:rFonts w:hint="eastAsia" w:hAnsi="宋体"/>
                <w:sz w:val="24"/>
                <w:szCs w:val="16"/>
              </w:rPr>
              <w:t>姓名</w:t>
            </w:r>
          </w:p>
        </w:tc>
        <w:tc>
          <w:tcPr>
            <w:tcW w:w="1419" w:type="dxa"/>
            <w:vAlign w:val="center"/>
          </w:tcPr>
          <w:p>
            <w:pPr>
              <w:pStyle w:val="57"/>
              <w:rPr>
                <w:rFonts w:hAnsi="宋体"/>
                <w:sz w:val="24"/>
                <w:szCs w:val="16"/>
              </w:rPr>
            </w:pPr>
            <w:r>
              <w:rPr>
                <w:rFonts w:hint="eastAsia" w:hAnsi="宋体"/>
                <w:sz w:val="24"/>
                <w:szCs w:val="16"/>
              </w:rPr>
              <w:t>职位</w:t>
            </w:r>
          </w:p>
        </w:tc>
        <w:tc>
          <w:tcPr>
            <w:tcW w:w="1418" w:type="dxa"/>
            <w:vAlign w:val="center"/>
          </w:tcPr>
          <w:p>
            <w:pPr>
              <w:pStyle w:val="57"/>
              <w:rPr>
                <w:rFonts w:hAnsi="宋体"/>
                <w:sz w:val="24"/>
                <w:szCs w:val="16"/>
              </w:rPr>
            </w:pPr>
            <w:r>
              <w:rPr>
                <w:rFonts w:hint="eastAsia" w:hAnsi="宋体"/>
                <w:sz w:val="24"/>
                <w:szCs w:val="16"/>
              </w:rPr>
              <w:t>学历</w:t>
            </w:r>
          </w:p>
        </w:tc>
        <w:tc>
          <w:tcPr>
            <w:tcW w:w="1419" w:type="dxa"/>
            <w:vAlign w:val="center"/>
          </w:tcPr>
          <w:p>
            <w:pPr>
              <w:pStyle w:val="57"/>
              <w:rPr>
                <w:rFonts w:hAnsi="宋体"/>
                <w:sz w:val="24"/>
                <w:szCs w:val="16"/>
              </w:rPr>
            </w:pPr>
            <w:r>
              <w:rPr>
                <w:rFonts w:hint="eastAsia" w:hAnsi="宋体"/>
                <w:sz w:val="24"/>
                <w:szCs w:val="16"/>
              </w:rPr>
              <w:t>持何种资格证书</w:t>
            </w:r>
          </w:p>
        </w:tc>
        <w:tc>
          <w:tcPr>
            <w:tcW w:w="1419" w:type="dxa"/>
            <w:vAlign w:val="center"/>
          </w:tcPr>
          <w:p>
            <w:pPr>
              <w:pStyle w:val="57"/>
              <w:rPr>
                <w:rFonts w:hAnsi="宋体"/>
                <w:sz w:val="24"/>
                <w:szCs w:val="16"/>
              </w:rPr>
            </w:pPr>
            <w:r>
              <w:rPr>
                <w:rFonts w:hint="eastAsia" w:hAnsi="宋体"/>
                <w:sz w:val="24"/>
                <w:szCs w:val="16"/>
              </w:rPr>
              <w:t>证书编号</w:t>
            </w:r>
          </w:p>
        </w:tc>
        <w:tc>
          <w:tcPr>
            <w:tcW w:w="1188" w:type="dxa"/>
            <w:vAlign w:val="center"/>
          </w:tcPr>
          <w:p>
            <w:pPr>
              <w:pStyle w:val="57"/>
              <w:rPr>
                <w:rFonts w:hAnsi="宋体"/>
                <w:sz w:val="24"/>
                <w:szCs w:val="16"/>
              </w:rPr>
            </w:pPr>
            <w:r>
              <w:rPr>
                <w:rFonts w:hint="eastAsia" w:hAnsi="宋体"/>
                <w:sz w:val="24"/>
                <w:szCs w:val="16"/>
              </w:rPr>
              <w:t>本岗工龄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419" w:type="dxa"/>
            <w:vAlign w:val="center"/>
          </w:tcPr>
          <w:p>
            <w:pPr>
              <w:pStyle w:val="57"/>
              <w:rPr>
                <w:rFonts w:hAnsi="宋体"/>
                <w:sz w:val="24"/>
                <w:szCs w:val="16"/>
              </w:rPr>
            </w:pPr>
            <w:r>
              <w:rPr>
                <w:rFonts w:hint="eastAsia" w:hAnsi="宋体"/>
                <w:sz w:val="24"/>
                <w:szCs w:val="16"/>
              </w:rPr>
              <w:t>项目负责人</w:t>
            </w: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188" w:type="dxa"/>
            <w:vAlign w:val="center"/>
          </w:tcPr>
          <w:p>
            <w:pPr>
              <w:spacing w:line="600" w:lineRule="exact"/>
              <w:jc w:val="center"/>
              <w:rPr>
                <w:rFonts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19" w:type="dxa"/>
            <w:vAlign w:val="center"/>
          </w:tcPr>
          <w:p>
            <w:pPr>
              <w:pStyle w:val="57"/>
              <w:rPr>
                <w:rFonts w:hAnsi="宋体"/>
                <w:sz w:val="24"/>
                <w:szCs w:val="16"/>
              </w:rPr>
            </w:pPr>
            <w:r>
              <w:rPr>
                <w:rFonts w:hint="eastAsia" w:hAnsi="宋体"/>
                <w:sz w:val="24"/>
                <w:szCs w:val="16"/>
              </w:rPr>
              <w:t>其他人员</w:t>
            </w: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188" w:type="dxa"/>
            <w:vAlign w:val="center"/>
          </w:tcPr>
          <w:p>
            <w:pPr>
              <w:spacing w:line="600" w:lineRule="exact"/>
              <w:jc w:val="center"/>
              <w:rPr>
                <w:rFonts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19" w:type="dxa"/>
            <w:vAlign w:val="center"/>
          </w:tcPr>
          <w:p>
            <w:pPr>
              <w:pStyle w:val="57"/>
              <w:rPr>
                <w:rFonts w:hAnsi="宋体"/>
                <w:sz w:val="24"/>
                <w:szCs w:val="16"/>
              </w:rPr>
            </w:pPr>
            <w:r>
              <w:rPr>
                <w:rFonts w:hint="eastAsia" w:hAnsi="宋体"/>
                <w:sz w:val="24"/>
                <w:szCs w:val="16"/>
              </w:rPr>
              <w:t>……</w:t>
            </w: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188" w:type="dxa"/>
            <w:vAlign w:val="center"/>
          </w:tcPr>
          <w:p>
            <w:pPr>
              <w:spacing w:line="600" w:lineRule="exact"/>
              <w:jc w:val="center"/>
              <w:rPr>
                <w:rFonts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19" w:type="dxa"/>
            <w:vAlign w:val="center"/>
          </w:tcPr>
          <w:p>
            <w:pPr>
              <w:pStyle w:val="57"/>
              <w:rPr>
                <w:rFonts w:hAnsi="宋体"/>
                <w:sz w:val="24"/>
                <w:szCs w:val="16"/>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188" w:type="dxa"/>
            <w:vAlign w:val="center"/>
          </w:tcPr>
          <w:p>
            <w:pPr>
              <w:spacing w:line="600" w:lineRule="exact"/>
              <w:jc w:val="center"/>
              <w:rPr>
                <w:rFonts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19" w:type="dxa"/>
            <w:vAlign w:val="center"/>
          </w:tcPr>
          <w:p>
            <w:pPr>
              <w:pStyle w:val="57"/>
              <w:rPr>
                <w:rFonts w:hAnsi="宋体"/>
                <w:sz w:val="24"/>
                <w:szCs w:val="16"/>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188" w:type="dxa"/>
            <w:vAlign w:val="center"/>
          </w:tcPr>
          <w:p>
            <w:pPr>
              <w:spacing w:line="600" w:lineRule="exact"/>
              <w:jc w:val="center"/>
              <w:rPr>
                <w:rFonts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188" w:type="dxa"/>
            <w:vAlign w:val="center"/>
          </w:tcPr>
          <w:p>
            <w:pPr>
              <w:spacing w:line="600" w:lineRule="exact"/>
              <w:jc w:val="center"/>
              <w:rPr>
                <w:rFonts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188" w:type="dxa"/>
            <w:vAlign w:val="center"/>
          </w:tcPr>
          <w:p>
            <w:pPr>
              <w:spacing w:line="600" w:lineRule="exact"/>
              <w:jc w:val="center"/>
              <w:rPr>
                <w:rFonts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188" w:type="dxa"/>
            <w:vAlign w:val="center"/>
          </w:tcPr>
          <w:p>
            <w:pPr>
              <w:spacing w:line="600" w:lineRule="exact"/>
              <w:jc w:val="center"/>
              <w:rPr>
                <w:rFonts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188" w:type="dxa"/>
            <w:vAlign w:val="center"/>
          </w:tcPr>
          <w:p>
            <w:pPr>
              <w:spacing w:line="600" w:lineRule="exact"/>
              <w:jc w:val="center"/>
              <w:rPr>
                <w:rFonts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188" w:type="dxa"/>
            <w:vAlign w:val="center"/>
          </w:tcPr>
          <w:p>
            <w:pPr>
              <w:spacing w:line="600" w:lineRule="exact"/>
              <w:jc w:val="center"/>
              <w:rPr>
                <w:rFonts w:ascii="仿宋_GB2312" w:eastAsia="仿宋_GB2312"/>
                <w:sz w:val="2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8"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419" w:type="dxa"/>
            <w:vAlign w:val="center"/>
          </w:tcPr>
          <w:p>
            <w:pPr>
              <w:spacing w:line="600" w:lineRule="exact"/>
              <w:jc w:val="center"/>
              <w:rPr>
                <w:rFonts w:ascii="仿宋_GB2312" w:eastAsia="仿宋_GB2312"/>
                <w:sz w:val="20"/>
                <w:szCs w:val="15"/>
              </w:rPr>
            </w:pPr>
          </w:p>
        </w:tc>
        <w:tc>
          <w:tcPr>
            <w:tcW w:w="1188" w:type="dxa"/>
            <w:vAlign w:val="center"/>
          </w:tcPr>
          <w:p>
            <w:pPr>
              <w:spacing w:line="600" w:lineRule="exact"/>
              <w:jc w:val="center"/>
              <w:rPr>
                <w:rFonts w:ascii="仿宋_GB2312" w:eastAsia="仿宋_GB2312"/>
                <w:sz w:val="20"/>
                <w:szCs w:val="15"/>
              </w:rPr>
            </w:pPr>
          </w:p>
        </w:tc>
      </w:tr>
    </w:tbl>
    <w:p>
      <w:pPr>
        <w:spacing w:line="360" w:lineRule="auto"/>
        <w:rPr>
          <w:rFonts w:ascii="宋体"/>
          <w:b/>
          <w:bCs/>
        </w:rPr>
      </w:pPr>
      <w:r>
        <w:rPr>
          <w:rFonts w:hint="eastAsia" w:ascii="宋体" w:hAnsi="宋体" w:cs="宋体"/>
          <w:b/>
          <w:bCs/>
        </w:rPr>
        <w:t>要求：</w:t>
      </w:r>
    </w:p>
    <w:p>
      <w:pPr>
        <w:pStyle w:val="44"/>
        <w:spacing w:line="360" w:lineRule="auto"/>
        <w:ind w:left="424" w:hanging="424" w:hangingChars="202"/>
        <w:rPr>
          <w:rFonts w:ascii="宋体" w:hAnsi="宋体" w:cs="宋体"/>
        </w:rPr>
      </w:pPr>
      <w:r>
        <w:rPr>
          <w:rFonts w:hint="eastAsia" w:ascii="宋体" w:hAnsi="宋体" w:cs="宋体"/>
        </w:rPr>
        <w:t>注：1、此表仅提供了表格形式，投标人应根据需要准备足够数量的表格来填写；</w:t>
      </w:r>
    </w:p>
    <w:p>
      <w:pPr>
        <w:pStyle w:val="44"/>
        <w:spacing w:line="360" w:lineRule="auto"/>
        <w:ind w:left="424" w:hanging="424" w:hangingChars="202"/>
        <w:rPr>
          <w:rFonts w:ascii="宋体" w:hAnsi="宋体" w:cs="宋体"/>
        </w:rPr>
      </w:pPr>
      <w:r>
        <w:rPr>
          <w:rFonts w:hint="eastAsia" w:ascii="宋体" w:hAnsi="宋体" w:cs="宋体"/>
        </w:rPr>
        <w:t xml:space="preserve">   2、请附相关证书复印件以及</w:t>
      </w:r>
      <w:r>
        <w:rPr>
          <w:rFonts w:hint="eastAsia" w:ascii="宋体" w:hAnsi="宋体" w:cs="宋体"/>
          <w:lang w:eastAsia="zh-CN"/>
        </w:rPr>
        <w:t>评标办法要求提供的相关证明材料</w:t>
      </w:r>
      <w:r>
        <w:rPr>
          <w:rFonts w:hint="eastAsia" w:ascii="宋体" w:hAnsi="宋体" w:cs="宋体"/>
        </w:rPr>
        <w:t>。</w:t>
      </w:r>
    </w:p>
    <w:p>
      <w:pPr>
        <w:pStyle w:val="44"/>
        <w:spacing w:line="360" w:lineRule="auto"/>
        <w:ind w:left="485" w:hanging="484" w:hangingChars="202"/>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sz w:val="24"/>
          <w:szCs w:val="24"/>
        </w:rPr>
      </w:pPr>
      <w:r>
        <w:rPr>
          <w:rFonts w:hint="eastAsia" w:ascii="宋体" w:hAnsi="宋体" w:cs="宋体"/>
          <w:sz w:val="24"/>
          <w:szCs w:val="24"/>
        </w:rPr>
        <w:t>投标人名称（盖章）：</w:t>
      </w:r>
    </w:p>
    <w:p>
      <w:pPr>
        <w:spacing w:line="360" w:lineRule="auto"/>
        <w:ind w:firstLine="424" w:firstLineChars="177"/>
        <w:rPr>
          <w:rFonts w:ascii="宋体"/>
          <w:sz w:val="24"/>
          <w:szCs w:val="24"/>
        </w:rPr>
      </w:pPr>
      <w:r>
        <w:rPr>
          <w:rFonts w:hint="eastAsia" w:ascii="宋体" w:hAnsi="宋体" w:cs="宋体"/>
          <w:sz w:val="24"/>
          <w:szCs w:val="24"/>
        </w:rPr>
        <w:t>法定代表人或代理人（签字或盖章）：</w:t>
      </w:r>
    </w:p>
    <w:p>
      <w:pPr>
        <w:spacing w:line="360" w:lineRule="auto"/>
        <w:ind w:firstLine="435"/>
        <w:rPr>
          <w:rFonts w:ascii="宋体"/>
          <w:b/>
          <w:bCs/>
          <w:sz w:val="28"/>
          <w:szCs w:val="28"/>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r>
        <w:rPr>
          <w:rFonts w:ascii="宋体"/>
          <w:b/>
          <w:bCs/>
          <w:sz w:val="28"/>
          <w:szCs w:val="28"/>
        </w:rPr>
        <w:br w:type="page"/>
      </w:r>
    </w:p>
    <w:p>
      <w:pPr>
        <w:widowControl/>
        <w:jc w:val="left"/>
        <w:rPr>
          <w:rFonts w:ascii="宋体"/>
          <w:sz w:val="24"/>
          <w:szCs w:val="24"/>
        </w:rPr>
      </w:pPr>
      <w:r>
        <w:rPr>
          <w:rFonts w:hint="eastAsia" w:ascii="宋体" w:hAnsi="宋体" w:cs="宋体"/>
          <w:b/>
          <w:bCs/>
          <w:sz w:val="24"/>
          <w:szCs w:val="24"/>
        </w:rPr>
        <w:t>附件5:</w:t>
      </w:r>
    </w:p>
    <w:p>
      <w:pPr>
        <w:pStyle w:val="11"/>
        <w:spacing w:before="120" w:after="120" w:line="480" w:lineRule="auto"/>
        <w:jc w:val="center"/>
        <w:rPr>
          <w:rFonts w:hint="eastAsia" w:hAnsi="宋体" w:eastAsia="宋体"/>
          <w:b/>
          <w:sz w:val="32"/>
          <w:szCs w:val="32"/>
          <w:lang w:eastAsia="zh-CN"/>
        </w:rPr>
      </w:pPr>
      <w:r>
        <w:rPr>
          <w:rFonts w:hint="eastAsia" w:hAnsi="宋体"/>
          <w:b/>
          <w:sz w:val="32"/>
          <w:szCs w:val="32"/>
          <w:lang w:eastAsia="zh-CN"/>
        </w:rPr>
        <w:t>温岭市新河镇2024年度病媒生物防制专业化服务项目采购</w:t>
      </w:r>
    </w:p>
    <w:p>
      <w:pPr>
        <w:pStyle w:val="11"/>
        <w:spacing w:before="120" w:after="120" w:line="480" w:lineRule="auto"/>
        <w:jc w:val="center"/>
        <w:rPr>
          <w:rFonts w:hAnsi="宋体"/>
          <w:b/>
          <w:sz w:val="32"/>
          <w:szCs w:val="32"/>
        </w:rPr>
      </w:pPr>
      <w:r>
        <w:rPr>
          <w:rFonts w:hint="eastAsia" w:hAnsi="宋体"/>
          <w:b/>
          <w:sz w:val="32"/>
          <w:szCs w:val="32"/>
        </w:rPr>
        <w:t>类似业绩一览表</w:t>
      </w:r>
    </w:p>
    <w:p>
      <w:pPr>
        <w:pStyle w:val="11"/>
        <w:spacing w:before="120" w:after="120" w:line="480" w:lineRule="auto"/>
        <w:rPr>
          <w:rFonts w:hAnsi="宋体"/>
          <w:b/>
          <w:sz w:val="32"/>
          <w:szCs w:val="32"/>
        </w:rPr>
      </w:pPr>
      <w:r>
        <w:rPr>
          <w:rFonts w:hint="eastAsia" w:hAnsi="宋体"/>
          <w:color w:val="000000"/>
          <w:sz w:val="24"/>
        </w:rPr>
        <w:t>项目编号：</w:t>
      </w:r>
      <w:r>
        <w:rPr>
          <w:rFonts w:hAnsi="宋体"/>
          <w:sz w:val="24"/>
        </w:rPr>
        <w:t xml:space="preserve">                                          </w:t>
      </w:r>
    </w:p>
    <w:tbl>
      <w:tblPr>
        <w:tblStyle w:val="20"/>
        <w:tblW w:w="9516" w:type="dxa"/>
        <w:tblInd w:w="-359" w:type="dxa"/>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657"/>
        <w:gridCol w:w="1892"/>
        <w:gridCol w:w="1552"/>
        <w:gridCol w:w="1400"/>
        <w:gridCol w:w="1182"/>
        <w:gridCol w:w="1569"/>
        <w:gridCol w:w="1264"/>
      </w:tblGrid>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657" w:type="dxa"/>
            <w:tcBorders>
              <w:top w:val="double" w:color="000000" w:sz="6" w:space="0"/>
            </w:tcBorders>
            <w:vAlign w:val="center"/>
          </w:tcPr>
          <w:p>
            <w:pPr>
              <w:spacing w:line="360" w:lineRule="auto"/>
              <w:jc w:val="center"/>
              <w:rPr>
                <w:rFonts w:ascii="宋体"/>
                <w:caps/>
                <w:spacing w:val="20"/>
              </w:rPr>
            </w:pPr>
            <w:r>
              <w:rPr>
                <w:rFonts w:hint="eastAsia" w:ascii="宋体" w:hAnsi="宋体"/>
                <w:caps/>
                <w:spacing w:val="20"/>
              </w:rPr>
              <w:t>序号</w:t>
            </w:r>
          </w:p>
        </w:tc>
        <w:tc>
          <w:tcPr>
            <w:tcW w:w="1892" w:type="dxa"/>
            <w:tcBorders>
              <w:top w:val="double" w:color="000000" w:sz="6" w:space="0"/>
            </w:tcBorders>
            <w:vAlign w:val="center"/>
          </w:tcPr>
          <w:p>
            <w:pPr>
              <w:spacing w:line="360" w:lineRule="auto"/>
              <w:jc w:val="center"/>
              <w:rPr>
                <w:rFonts w:ascii="宋体"/>
                <w:caps/>
                <w:spacing w:val="20"/>
              </w:rPr>
            </w:pPr>
            <w:r>
              <w:rPr>
                <w:rFonts w:hint="eastAsia" w:ascii="宋体" w:hAnsi="宋体"/>
                <w:caps/>
                <w:spacing w:val="20"/>
              </w:rPr>
              <w:t>项目名称</w:t>
            </w:r>
          </w:p>
        </w:tc>
        <w:tc>
          <w:tcPr>
            <w:tcW w:w="1552" w:type="dxa"/>
            <w:tcBorders>
              <w:top w:val="double" w:color="000000" w:sz="6" w:space="0"/>
            </w:tcBorders>
            <w:vAlign w:val="center"/>
          </w:tcPr>
          <w:p>
            <w:pPr>
              <w:spacing w:line="360" w:lineRule="auto"/>
              <w:jc w:val="center"/>
              <w:rPr>
                <w:rFonts w:ascii="宋体"/>
                <w:caps/>
                <w:spacing w:val="20"/>
              </w:rPr>
            </w:pPr>
            <w:r>
              <w:rPr>
                <w:rFonts w:hint="eastAsia" w:ascii="宋体" w:hAnsi="宋体"/>
                <w:caps/>
                <w:spacing w:val="20"/>
              </w:rPr>
              <w:t>业主名称</w:t>
            </w:r>
          </w:p>
        </w:tc>
        <w:tc>
          <w:tcPr>
            <w:tcW w:w="1400" w:type="dxa"/>
            <w:tcBorders>
              <w:top w:val="double" w:color="000000" w:sz="6" w:space="0"/>
            </w:tcBorders>
            <w:vAlign w:val="center"/>
          </w:tcPr>
          <w:p>
            <w:pPr>
              <w:spacing w:line="360" w:lineRule="auto"/>
              <w:jc w:val="center"/>
              <w:rPr>
                <w:rFonts w:ascii="宋体"/>
                <w:caps/>
                <w:spacing w:val="20"/>
              </w:rPr>
            </w:pPr>
            <w:r>
              <w:rPr>
                <w:rFonts w:hint="eastAsia" w:ascii="宋体" w:hAnsi="宋体"/>
                <w:caps/>
                <w:spacing w:val="20"/>
              </w:rPr>
              <w:t>合同金额</w:t>
            </w:r>
          </w:p>
        </w:tc>
        <w:tc>
          <w:tcPr>
            <w:tcW w:w="1182" w:type="dxa"/>
            <w:tcBorders>
              <w:top w:val="double" w:color="000000" w:sz="6" w:space="0"/>
            </w:tcBorders>
            <w:vAlign w:val="center"/>
          </w:tcPr>
          <w:p>
            <w:pPr>
              <w:spacing w:line="360" w:lineRule="auto"/>
              <w:jc w:val="center"/>
              <w:rPr>
                <w:rFonts w:ascii="宋体" w:hAnsi="宋体"/>
                <w:caps/>
                <w:spacing w:val="20"/>
              </w:rPr>
            </w:pPr>
            <w:r>
              <w:rPr>
                <w:rFonts w:hint="eastAsia" w:ascii="宋体" w:hAnsi="宋体"/>
                <w:caps/>
                <w:spacing w:val="20"/>
              </w:rPr>
              <w:t>签约</w:t>
            </w:r>
          </w:p>
          <w:p>
            <w:pPr>
              <w:spacing w:line="360" w:lineRule="auto"/>
              <w:jc w:val="center"/>
              <w:rPr>
                <w:rFonts w:ascii="宋体"/>
                <w:caps/>
                <w:spacing w:val="20"/>
              </w:rPr>
            </w:pPr>
            <w:r>
              <w:rPr>
                <w:rFonts w:hint="eastAsia" w:ascii="宋体" w:hAnsi="宋体"/>
                <w:caps/>
                <w:spacing w:val="20"/>
              </w:rPr>
              <w:t>日期</w:t>
            </w:r>
          </w:p>
        </w:tc>
        <w:tc>
          <w:tcPr>
            <w:tcW w:w="1569" w:type="dxa"/>
            <w:tcBorders>
              <w:top w:val="double" w:color="000000" w:sz="6" w:space="0"/>
            </w:tcBorders>
            <w:vAlign w:val="center"/>
          </w:tcPr>
          <w:p>
            <w:pPr>
              <w:jc w:val="center"/>
              <w:rPr>
                <w:rFonts w:ascii="宋体"/>
                <w:caps/>
                <w:spacing w:val="20"/>
              </w:rPr>
            </w:pPr>
            <w:r>
              <w:rPr>
                <w:rFonts w:hint="eastAsia" w:ascii="宋体" w:hAnsi="宋体"/>
                <w:caps/>
                <w:spacing w:val="20"/>
              </w:rPr>
              <w:t>业主单位联系人及电话</w:t>
            </w:r>
          </w:p>
        </w:tc>
        <w:tc>
          <w:tcPr>
            <w:tcW w:w="1264" w:type="dxa"/>
            <w:tcBorders>
              <w:top w:val="double" w:color="000000" w:sz="6" w:space="0"/>
            </w:tcBorders>
            <w:vAlign w:val="center"/>
          </w:tcPr>
          <w:p>
            <w:pPr>
              <w:jc w:val="center"/>
              <w:rPr>
                <w:rFonts w:ascii="宋体"/>
                <w:caps/>
                <w:spacing w:val="20"/>
              </w:rPr>
            </w:pPr>
            <w:r>
              <w:rPr>
                <w:rFonts w:hint="eastAsia" w:ascii="宋体" w:hAnsi="宋体"/>
                <w:caps/>
                <w:spacing w:val="20"/>
              </w:rPr>
              <w:t>是否提供满意度证明文件</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657" w:type="dxa"/>
            <w:vAlign w:val="center"/>
          </w:tcPr>
          <w:p>
            <w:pPr>
              <w:spacing w:line="360" w:lineRule="auto"/>
              <w:jc w:val="center"/>
              <w:rPr>
                <w:rFonts w:ascii="宋体"/>
                <w:caps/>
                <w:spacing w:val="20"/>
              </w:rPr>
            </w:pPr>
            <w:r>
              <w:rPr>
                <w:rFonts w:ascii="宋体" w:hAnsi="宋体"/>
                <w:caps/>
                <w:spacing w:val="20"/>
              </w:rPr>
              <w:t>1</w:t>
            </w:r>
          </w:p>
        </w:tc>
        <w:tc>
          <w:tcPr>
            <w:tcW w:w="1892" w:type="dxa"/>
            <w:vAlign w:val="center"/>
          </w:tcPr>
          <w:p>
            <w:pPr>
              <w:spacing w:line="360" w:lineRule="auto"/>
              <w:rPr>
                <w:rFonts w:ascii="宋体"/>
                <w:spacing w:val="20"/>
                <w:sz w:val="24"/>
              </w:rPr>
            </w:pPr>
            <w:r>
              <w:rPr>
                <w:rFonts w:ascii="宋体"/>
              </w:rPr>
              <w:t> </w:t>
            </w:r>
          </w:p>
        </w:tc>
        <w:tc>
          <w:tcPr>
            <w:tcW w:w="1552" w:type="dxa"/>
            <w:vAlign w:val="center"/>
          </w:tcPr>
          <w:p>
            <w:pPr>
              <w:spacing w:line="360" w:lineRule="auto"/>
              <w:rPr>
                <w:rFonts w:ascii="宋体"/>
                <w:spacing w:val="20"/>
                <w:sz w:val="24"/>
              </w:rPr>
            </w:pPr>
            <w:r>
              <w:rPr>
                <w:rFonts w:ascii="宋体"/>
              </w:rPr>
              <w:t> </w:t>
            </w:r>
          </w:p>
        </w:tc>
        <w:tc>
          <w:tcPr>
            <w:tcW w:w="1400" w:type="dxa"/>
            <w:vAlign w:val="center"/>
          </w:tcPr>
          <w:p>
            <w:pPr>
              <w:spacing w:line="360" w:lineRule="auto"/>
              <w:rPr>
                <w:rFonts w:ascii="宋体"/>
                <w:spacing w:val="20"/>
                <w:sz w:val="24"/>
              </w:rPr>
            </w:pPr>
            <w:r>
              <w:rPr>
                <w:rFonts w:ascii="宋体"/>
              </w:rPr>
              <w:t> </w:t>
            </w:r>
          </w:p>
        </w:tc>
        <w:tc>
          <w:tcPr>
            <w:tcW w:w="1182" w:type="dxa"/>
            <w:vAlign w:val="center"/>
          </w:tcPr>
          <w:p>
            <w:pPr>
              <w:spacing w:line="360" w:lineRule="auto"/>
              <w:rPr>
                <w:rFonts w:ascii="宋体"/>
                <w:spacing w:val="20"/>
                <w:sz w:val="24"/>
              </w:rPr>
            </w:pPr>
            <w:r>
              <w:rPr>
                <w:rFonts w:ascii="宋体"/>
              </w:rPr>
              <w:t> </w:t>
            </w:r>
          </w:p>
        </w:tc>
        <w:tc>
          <w:tcPr>
            <w:tcW w:w="1569" w:type="dxa"/>
            <w:vAlign w:val="center"/>
          </w:tcPr>
          <w:p>
            <w:pPr>
              <w:spacing w:line="360" w:lineRule="auto"/>
              <w:rPr>
                <w:rFonts w:ascii="宋体"/>
                <w:spacing w:val="20"/>
                <w:sz w:val="24"/>
              </w:rPr>
            </w:pPr>
            <w:r>
              <w:rPr>
                <w:rFonts w:ascii="宋体"/>
              </w:rPr>
              <w:t> </w:t>
            </w:r>
          </w:p>
        </w:tc>
        <w:tc>
          <w:tcPr>
            <w:tcW w:w="1264" w:type="dxa"/>
            <w:vAlign w:val="center"/>
          </w:tcPr>
          <w:p>
            <w:pPr>
              <w:spacing w:line="360" w:lineRule="auto"/>
              <w:rPr>
                <w:rFonts w:ascii="宋体"/>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657" w:type="dxa"/>
            <w:vAlign w:val="center"/>
          </w:tcPr>
          <w:p>
            <w:pPr>
              <w:spacing w:line="360" w:lineRule="auto"/>
              <w:jc w:val="center"/>
              <w:rPr>
                <w:rFonts w:ascii="宋体"/>
                <w:caps/>
                <w:spacing w:val="20"/>
              </w:rPr>
            </w:pPr>
            <w:r>
              <w:rPr>
                <w:rFonts w:ascii="宋体" w:hAnsi="宋体"/>
                <w:caps/>
                <w:spacing w:val="20"/>
              </w:rPr>
              <w:t>2</w:t>
            </w:r>
          </w:p>
        </w:tc>
        <w:tc>
          <w:tcPr>
            <w:tcW w:w="1892" w:type="dxa"/>
            <w:vAlign w:val="center"/>
          </w:tcPr>
          <w:p>
            <w:pPr>
              <w:spacing w:line="360" w:lineRule="auto"/>
              <w:rPr>
                <w:rFonts w:ascii="宋体"/>
                <w:spacing w:val="20"/>
                <w:sz w:val="24"/>
              </w:rPr>
            </w:pPr>
          </w:p>
        </w:tc>
        <w:tc>
          <w:tcPr>
            <w:tcW w:w="1552" w:type="dxa"/>
            <w:vAlign w:val="center"/>
          </w:tcPr>
          <w:p>
            <w:pPr>
              <w:spacing w:line="360" w:lineRule="auto"/>
              <w:rPr>
                <w:rFonts w:ascii="宋体"/>
                <w:spacing w:val="20"/>
                <w:sz w:val="24"/>
              </w:rPr>
            </w:pPr>
            <w:r>
              <w:rPr>
                <w:rFonts w:ascii="宋体"/>
              </w:rPr>
              <w:t> </w:t>
            </w:r>
          </w:p>
        </w:tc>
        <w:tc>
          <w:tcPr>
            <w:tcW w:w="1400" w:type="dxa"/>
            <w:vAlign w:val="center"/>
          </w:tcPr>
          <w:p>
            <w:pPr>
              <w:spacing w:line="360" w:lineRule="auto"/>
              <w:rPr>
                <w:rFonts w:ascii="宋体"/>
                <w:spacing w:val="20"/>
                <w:sz w:val="24"/>
              </w:rPr>
            </w:pPr>
            <w:r>
              <w:rPr>
                <w:rFonts w:ascii="宋体"/>
              </w:rPr>
              <w:t> </w:t>
            </w:r>
          </w:p>
        </w:tc>
        <w:tc>
          <w:tcPr>
            <w:tcW w:w="1182" w:type="dxa"/>
            <w:vAlign w:val="center"/>
          </w:tcPr>
          <w:p>
            <w:pPr>
              <w:spacing w:line="360" w:lineRule="auto"/>
              <w:rPr>
                <w:rFonts w:ascii="宋体"/>
                <w:spacing w:val="20"/>
                <w:sz w:val="24"/>
              </w:rPr>
            </w:pPr>
            <w:r>
              <w:rPr>
                <w:rFonts w:ascii="宋体"/>
              </w:rPr>
              <w:t> </w:t>
            </w:r>
          </w:p>
        </w:tc>
        <w:tc>
          <w:tcPr>
            <w:tcW w:w="1569" w:type="dxa"/>
            <w:vAlign w:val="center"/>
          </w:tcPr>
          <w:p>
            <w:pPr>
              <w:spacing w:line="360" w:lineRule="auto"/>
              <w:rPr>
                <w:rFonts w:ascii="宋体"/>
                <w:spacing w:val="20"/>
                <w:sz w:val="24"/>
              </w:rPr>
            </w:pPr>
            <w:r>
              <w:rPr>
                <w:rFonts w:ascii="宋体"/>
              </w:rPr>
              <w:t> </w:t>
            </w:r>
          </w:p>
        </w:tc>
        <w:tc>
          <w:tcPr>
            <w:tcW w:w="1264" w:type="dxa"/>
            <w:vAlign w:val="center"/>
          </w:tcPr>
          <w:p>
            <w:pPr>
              <w:spacing w:line="360" w:lineRule="auto"/>
              <w:rPr>
                <w:rFonts w:ascii="宋体"/>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657" w:type="dxa"/>
            <w:vAlign w:val="center"/>
          </w:tcPr>
          <w:p>
            <w:pPr>
              <w:spacing w:line="360" w:lineRule="auto"/>
              <w:jc w:val="center"/>
              <w:rPr>
                <w:rFonts w:ascii="宋体"/>
                <w:caps/>
                <w:spacing w:val="20"/>
              </w:rPr>
            </w:pPr>
            <w:r>
              <w:rPr>
                <w:rFonts w:ascii="宋体" w:hAnsi="宋体"/>
                <w:caps/>
                <w:spacing w:val="20"/>
              </w:rPr>
              <w:t>3</w:t>
            </w:r>
          </w:p>
        </w:tc>
        <w:tc>
          <w:tcPr>
            <w:tcW w:w="1892" w:type="dxa"/>
            <w:vAlign w:val="center"/>
          </w:tcPr>
          <w:p>
            <w:pPr>
              <w:spacing w:line="360" w:lineRule="auto"/>
              <w:rPr>
                <w:rFonts w:ascii="宋体"/>
                <w:spacing w:val="20"/>
                <w:sz w:val="24"/>
              </w:rPr>
            </w:pPr>
            <w:r>
              <w:rPr>
                <w:rFonts w:ascii="宋体"/>
              </w:rPr>
              <w:t> </w:t>
            </w:r>
            <w:r>
              <w:rPr>
                <w:rFonts w:hint="eastAsia" w:ascii="宋体" w:hAnsi="宋体"/>
              </w:rPr>
              <w:t>……</w:t>
            </w:r>
          </w:p>
        </w:tc>
        <w:tc>
          <w:tcPr>
            <w:tcW w:w="1552" w:type="dxa"/>
            <w:vAlign w:val="center"/>
          </w:tcPr>
          <w:p>
            <w:pPr>
              <w:spacing w:line="360" w:lineRule="auto"/>
              <w:rPr>
                <w:rFonts w:ascii="宋体"/>
                <w:spacing w:val="20"/>
                <w:sz w:val="24"/>
              </w:rPr>
            </w:pPr>
            <w:r>
              <w:rPr>
                <w:rFonts w:ascii="宋体"/>
              </w:rPr>
              <w:t> </w:t>
            </w:r>
          </w:p>
        </w:tc>
        <w:tc>
          <w:tcPr>
            <w:tcW w:w="1400" w:type="dxa"/>
            <w:vAlign w:val="center"/>
          </w:tcPr>
          <w:p>
            <w:pPr>
              <w:spacing w:line="360" w:lineRule="auto"/>
              <w:rPr>
                <w:rFonts w:ascii="宋体"/>
                <w:spacing w:val="20"/>
                <w:sz w:val="24"/>
              </w:rPr>
            </w:pPr>
            <w:r>
              <w:rPr>
                <w:rFonts w:ascii="宋体"/>
              </w:rPr>
              <w:t> </w:t>
            </w:r>
          </w:p>
        </w:tc>
        <w:tc>
          <w:tcPr>
            <w:tcW w:w="1182" w:type="dxa"/>
            <w:vAlign w:val="center"/>
          </w:tcPr>
          <w:p>
            <w:pPr>
              <w:spacing w:line="360" w:lineRule="auto"/>
              <w:rPr>
                <w:rFonts w:ascii="宋体"/>
                <w:spacing w:val="20"/>
                <w:sz w:val="24"/>
              </w:rPr>
            </w:pPr>
            <w:r>
              <w:rPr>
                <w:rFonts w:ascii="宋体"/>
              </w:rPr>
              <w:t> </w:t>
            </w:r>
          </w:p>
        </w:tc>
        <w:tc>
          <w:tcPr>
            <w:tcW w:w="1569" w:type="dxa"/>
            <w:vAlign w:val="center"/>
          </w:tcPr>
          <w:p>
            <w:pPr>
              <w:spacing w:line="360" w:lineRule="auto"/>
              <w:rPr>
                <w:rFonts w:ascii="宋体"/>
                <w:spacing w:val="20"/>
                <w:sz w:val="24"/>
              </w:rPr>
            </w:pPr>
            <w:r>
              <w:rPr>
                <w:rFonts w:ascii="宋体"/>
              </w:rPr>
              <w:t> </w:t>
            </w:r>
          </w:p>
        </w:tc>
        <w:tc>
          <w:tcPr>
            <w:tcW w:w="1264" w:type="dxa"/>
            <w:vAlign w:val="center"/>
          </w:tcPr>
          <w:p>
            <w:pPr>
              <w:spacing w:line="360" w:lineRule="auto"/>
              <w:rPr>
                <w:rFonts w:ascii="宋体"/>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657" w:type="dxa"/>
            <w:vAlign w:val="center"/>
          </w:tcPr>
          <w:p>
            <w:pPr>
              <w:spacing w:line="360" w:lineRule="auto"/>
              <w:jc w:val="center"/>
              <w:rPr>
                <w:rFonts w:ascii="宋体"/>
                <w:caps/>
                <w:spacing w:val="20"/>
              </w:rPr>
            </w:pPr>
            <w:r>
              <w:rPr>
                <w:rFonts w:ascii="宋体" w:hAnsi="宋体"/>
                <w:caps/>
                <w:spacing w:val="20"/>
              </w:rPr>
              <w:t>4</w:t>
            </w:r>
          </w:p>
        </w:tc>
        <w:tc>
          <w:tcPr>
            <w:tcW w:w="1892" w:type="dxa"/>
            <w:vAlign w:val="center"/>
          </w:tcPr>
          <w:p>
            <w:pPr>
              <w:spacing w:line="360" w:lineRule="auto"/>
              <w:rPr>
                <w:rFonts w:ascii="宋体"/>
                <w:spacing w:val="20"/>
                <w:sz w:val="24"/>
              </w:rPr>
            </w:pPr>
            <w:r>
              <w:rPr>
                <w:rFonts w:ascii="宋体"/>
              </w:rPr>
              <w:t> </w:t>
            </w:r>
          </w:p>
        </w:tc>
        <w:tc>
          <w:tcPr>
            <w:tcW w:w="1552" w:type="dxa"/>
            <w:vAlign w:val="center"/>
          </w:tcPr>
          <w:p>
            <w:pPr>
              <w:spacing w:line="360" w:lineRule="auto"/>
              <w:rPr>
                <w:rFonts w:ascii="宋体"/>
                <w:spacing w:val="20"/>
                <w:sz w:val="24"/>
              </w:rPr>
            </w:pPr>
            <w:r>
              <w:rPr>
                <w:rFonts w:ascii="宋体"/>
              </w:rPr>
              <w:t> </w:t>
            </w:r>
          </w:p>
        </w:tc>
        <w:tc>
          <w:tcPr>
            <w:tcW w:w="1400" w:type="dxa"/>
            <w:vAlign w:val="center"/>
          </w:tcPr>
          <w:p>
            <w:pPr>
              <w:spacing w:line="360" w:lineRule="auto"/>
              <w:rPr>
                <w:rFonts w:ascii="宋体"/>
                <w:spacing w:val="20"/>
                <w:sz w:val="24"/>
              </w:rPr>
            </w:pPr>
            <w:r>
              <w:rPr>
                <w:rFonts w:ascii="宋体"/>
              </w:rPr>
              <w:t> </w:t>
            </w:r>
          </w:p>
        </w:tc>
        <w:tc>
          <w:tcPr>
            <w:tcW w:w="1182" w:type="dxa"/>
            <w:vAlign w:val="center"/>
          </w:tcPr>
          <w:p>
            <w:pPr>
              <w:spacing w:line="360" w:lineRule="auto"/>
              <w:rPr>
                <w:rFonts w:ascii="宋体"/>
                <w:spacing w:val="20"/>
                <w:sz w:val="24"/>
              </w:rPr>
            </w:pPr>
            <w:r>
              <w:rPr>
                <w:rFonts w:ascii="宋体"/>
              </w:rPr>
              <w:t> </w:t>
            </w:r>
          </w:p>
        </w:tc>
        <w:tc>
          <w:tcPr>
            <w:tcW w:w="1569" w:type="dxa"/>
            <w:vAlign w:val="center"/>
          </w:tcPr>
          <w:p>
            <w:pPr>
              <w:spacing w:line="360" w:lineRule="auto"/>
              <w:rPr>
                <w:rFonts w:ascii="宋体"/>
                <w:spacing w:val="20"/>
                <w:sz w:val="24"/>
              </w:rPr>
            </w:pPr>
            <w:r>
              <w:rPr>
                <w:rFonts w:ascii="宋体"/>
              </w:rPr>
              <w:t> </w:t>
            </w:r>
          </w:p>
        </w:tc>
        <w:tc>
          <w:tcPr>
            <w:tcW w:w="1264" w:type="dxa"/>
            <w:vAlign w:val="center"/>
          </w:tcPr>
          <w:p>
            <w:pPr>
              <w:spacing w:line="360" w:lineRule="auto"/>
              <w:rPr>
                <w:rFonts w:ascii="宋体"/>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657" w:type="dxa"/>
            <w:vAlign w:val="center"/>
          </w:tcPr>
          <w:p>
            <w:pPr>
              <w:spacing w:line="360" w:lineRule="auto"/>
              <w:jc w:val="center"/>
              <w:rPr>
                <w:rFonts w:ascii="宋体"/>
                <w:caps/>
                <w:spacing w:val="20"/>
              </w:rPr>
            </w:pPr>
            <w:r>
              <w:rPr>
                <w:rFonts w:ascii="宋体" w:hAnsi="宋体"/>
                <w:caps/>
                <w:spacing w:val="20"/>
              </w:rPr>
              <w:t>5</w:t>
            </w:r>
          </w:p>
        </w:tc>
        <w:tc>
          <w:tcPr>
            <w:tcW w:w="1892" w:type="dxa"/>
            <w:vAlign w:val="center"/>
          </w:tcPr>
          <w:p>
            <w:pPr>
              <w:spacing w:line="360" w:lineRule="auto"/>
              <w:rPr>
                <w:rFonts w:ascii="宋体"/>
              </w:rPr>
            </w:pPr>
          </w:p>
        </w:tc>
        <w:tc>
          <w:tcPr>
            <w:tcW w:w="1552" w:type="dxa"/>
            <w:vAlign w:val="center"/>
          </w:tcPr>
          <w:p>
            <w:pPr>
              <w:spacing w:line="360" w:lineRule="auto"/>
              <w:rPr>
                <w:rFonts w:ascii="宋体"/>
              </w:rPr>
            </w:pPr>
          </w:p>
        </w:tc>
        <w:tc>
          <w:tcPr>
            <w:tcW w:w="1400" w:type="dxa"/>
            <w:vAlign w:val="center"/>
          </w:tcPr>
          <w:p>
            <w:pPr>
              <w:spacing w:line="360" w:lineRule="auto"/>
              <w:rPr>
                <w:rFonts w:ascii="宋体"/>
              </w:rPr>
            </w:pPr>
          </w:p>
        </w:tc>
        <w:tc>
          <w:tcPr>
            <w:tcW w:w="1182" w:type="dxa"/>
            <w:vAlign w:val="center"/>
          </w:tcPr>
          <w:p>
            <w:pPr>
              <w:spacing w:line="360" w:lineRule="auto"/>
              <w:rPr>
                <w:rFonts w:ascii="宋体"/>
              </w:rPr>
            </w:pPr>
          </w:p>
        </w:tc>
        <w:tc>
          <w:tcPr>
            <w:tcW w:w="1569" w:type="dxa"/>
            <w:vAlign w:val="center"/>
          </w:tcPr>
          <w:p>
            <w:pPr>
              <w:spacing w:line="360" w:lineRule="auto"/>
              <w:rPr>
                <w:rFonts w:ascii="宋体"/>
              </w:rPr>
            </w:pPr>
          </w:p>
        </w:tc>
        <w:tc>
          <w:tcPr>
            <w:tcW w:w="1264" w:type="dxa"/>
            <w:vAlign w:val="center"/>
          </w:tcPr>
          <w:p>
            <w:pPr>
              <w:spacing w:line="360" w:lineRule="auto"/>
              <w:rPr>
                <w:rFonts w:ascii="宋体"/>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657" w:type="dxa"/>
            <w:vAlign w:val="center"/>
          </w:tcPr>
          <w:p>
            <w:pPr>
              <w:spacing w:line="360" w:lineRule="auto"/>
              <w:jc w:val="center"/>
              <w:rPr>
                <w:rFonts w:ascii="宋体"/>
                <w:caps/>
                <w:spacing w:val="20"/>
              </w:rPr>
            </w:pPr>
            <w:r>
              <w:rPr>
                <w:rFonts w:ascii="宋体" w:hAnsi="宋体"/>
                <w:caps/>
                <w:spacing w:val="20"/>
              </w:rPr>
              <w:t>6</w:t>
            </w:r>
          </w:p>
        </w:tc>
        <w:tc>
          <w:tcPr>
            <w:tcW w:w="1892" w:type="dxa"/>
            <w:vAlign w:val="center"/>
          </w:tcPr>
          <w:p>
            <w:pPr>
              <w:spacing w:line="360" w:lineRule="auto"/>
              <w:rPr>
                <w:rFonts w:ascii="宋体"/>
              </w:rPr>
            </w:pPr>
          </w:p>
        </w:tc>
        <w:tc>
          <w:tcPr>
            <w:tcW w:w="1552" w:type="dxa"/>
            <w:vAlign w:val="center"/>
          </w:tcPr>
          <w:p>
            <w:pPr>
              <w:spacing w:line="360" w:lineRule="auto"/>
              <w:rPr>
                <w:rFonts w:ascii="宋体"/>
              </w:rPr>
            </w:pPr>
          </w:p>
        </w:tc>
        <w:tc>
          <w:tcPr>
            <w:tcW w:w="1400" w:type="dxa"/>
            <w:vAlign w:val="center"/>
          </w:tcPr>
          <w:p>
            <w:pPr>
              <w:spacing w:line="360" w:lineRule="auto"/>
              <w:rPr>
                <w:rFonts w:ascii="宋体"/>
              </w:rPr>
            </w:pPr>
          </w:p>
        </w:tc>
        <w:tc>
          <w:tcPr>
            <w:tcW w:w="1182" w:type="dxa"/>
            <w:vAlign w:val="center"/>
          </w:tcPr>
          <w:p>
            <w:pPr>
              <w:spacing w:line="360" w:lineRule="auto"/>
              <w:rPr>
                <w:rFonts w:ascii="宋体"/>
              </w:rPr>
            </w:pPr>
          </w:p>
        </w:tc>
        <w:tc>
          <w:tcPr>
            <w:tcW w:w="1569" w:type="dxa"/>
            <w:vAlign w:val="center"/>
          </w:tcPr>
          <w:p>
            <w:pPr>
              <w:spacing w:line="360" w:lineRule="auto"/>
              <w:rPr>
                <w:rFonts w:ascii="宋体"/>
              </w:rPr>
            </w:pPr>
          </w:p>
        </w:tc>
        <w:tc>
          <w:tcPr>
            <w:tcW w:w="1264" w:type="dxa"/>
            <w:vAlign w:val="center"/>
          </w:tcPr>
          <w:p>
            <w:pPr>
              <w:spacing w:line="360" w:lineRule="auto"/>
              <w:rPr>
                <w:rFonts w:ascii="宋体"/>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657" w:type="dxa"/>
            <w:vAlign w:val="center"/>
          </w:tcPr>
          <w:p>
            <w:pPr>
              <w:spacing w:line="360" w:lineRule="auto"/>
              <w:jc w:val="center"/>
              <w:rPr>
                <w:rFonts w:ascii="宋体"/>
                <w:caps/>
                <w:spacing w:val="20"/>
              </w:rPr>
            </w:pPr>
            <w:r>
              <w:rPr>
                <w:rFonts w:ascii="宋体" w:hAnsi="宋体"/>
                <w:caps/>
                <w:spacing w:val="20"/>
              </w:rPr>
              <w:t>7</w:t>
            </w:r>
          </w:p>
        </w:tc>
        <w:tc>
          <w:tcPr>
            <w:tcW w:w="1892" w:type="dxa"/>
            <w:vAlign w:val="center"/>
          </w:tcPr>
          <w:p>
            <w:pPr>
              <w:spacing w:line="360" w:lineRule="auto"/>
              <w:rPr>
                <w:rFonts w:ascii="宋体"/>
              </w:rPr>
            </w:pPr>
          </w:p>
        </w:tc>
        <w:tc>
          <w:tcPr>
            <w:tcW w:w="1552" w:type="dxa"/>
            <w:vAlign w:val="center"/>
          </w:tcPr>
          <w:p>
            <w:pPr>
              <w:spacing w:line="360" w:lineRule="auto"/>
              <w:rPr>
                <w:rFonts w:ascii="宋体"/>
              </w:rPr>
            </w:pPr>
          </w:p>
        </w:tc>
        <w:tc>
          <w:tcPr>
            <w:tcW w:w="1400" w:type="dxa"/>
            <w:vAlign w:val="center"/>
          </w:tcPr>
          <w:p>
            <w:pPr>
              <w:spacing w:line="360" w:lineRule="auto"/>
              <w:rPr>
                <w:rFonts w:ascii="宋体"/>
              </w:rPr>
            </w:pPr>
          </w:p>
        </w:tc>
        <w:tc>
          <w:tcPr>
            <w:tcW w:w="1182" w:type="dxa"/>
            <w:vAlign w:val="center"/>
          </w:tcPr>
          <w:p>
            <w:pPr>
              <w:spacing w:line="360" w:lineRule="auto"/>
              <w:rPr>
                <w:rFonts w:ascii="宋体"/>
              </w:rPr>
            </w:pPr>
          </w:p>
        </w:tc>
        <w:tc>
          <w:tcPr>
            <w:tcW w:w="1569" w:type="dxa"/>
            <w:vAlign w:val="center"/>
          </w:tcPr>
          <w:p>
            <w:pPr>
              <w:spacing w:line="360" w:lineRule="auto"/>
              <w:rPr>
                <w:rFonts w:ascii="宋体"/>
              </w:rPr>
            </w:pPr>
          </w:p>
        </w:tc>
        <w:tc>
          <w:tcPr>
            <w:tcW w:w="1264" w:type="dxa"/>
            <w:vAlign w:val="center"/>
          </w:tcPr>
          <w:p>
            <w:pPr>
              <w:spacing w:line="360" w:lineRule="auto"/>
              <w:rPr>
                <w:rFonts w:ascii="宋体"/>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57" w:type="dxa"/>
            <w:tcBorders>
              <w:bottom w:val="double" w:color="000000" w:sz="6" w:space="0"/>
            </w:tcBorders>
            <w:vAlign w:val="center"/>
          </w:tcPr>
          <w:p>
            <w:pPr>
              <w:spacing w:line="360" w:lineRule="auto"/>
              <w:jc w:val="center"/>
              <w:rPr>
                <w:rFonts w:ascii="宋体"/>
                <w:caps/>
                <w:spacing w:val="20"/>
              </w:rPr>
            </w:pPr>
            <w:r>
              <w:rPr>
                <w:rFonts w:ascii="宋体" w:hAnsi="宋体"/>
                <w:caps/>
                <w:spacing w:val="20"/>
              </w:rPr>
              <w:t>8</w:t>
            </w:r>
          </w:p>
        </w:tc>
        <w:tc>
          <w:tcPr>
            <w:tcW w:w="1892" w:type="dxa"/>
            <w:tcBorders>
              <w:bottom w:val="double" w:color="000000" w:sz="6" w:space="0"/>
            </w:tcBorders>
            <w:vAlign w:val="center"/>
          </w:tcPr>
          <w:p>
            <w:pPr>
              <w:spacing w:line="360" w:lineRule="auto"/>
              <w:rPr>
                <w:rFonts w:ascii="宋体"/>
                <w:spacing w:val="20"/>
                <w:sz w:val="24"/>
              </w:rPr>
            </w:pPr>
            <w:r>
              <w:rPr>
                <w:rFonts w:ascii="宋体"/>
              </w:rPr>
              <w:t> </w:t>
            </w:r>
          </w:p>
        </w:tc>
        <w:tc>
          <w:tcPr>
            <w:tcW w:w="1552" w:type="dxa"/>
            <w:tcBorders>
              <w:bottom w:val="double" w:color="000000" w:sz="6" w:space="0"/>
            </w:tcBorders>
            <w:vAlign w:val="center"/>
          </w:tcPr>
          <w:p>
            <w:pPr>
              <w:spacing w:line="360" w:lineRule="auto"/>
              <w:rPr>
                <w:rFonts w:ascii="宋体"/>
                <w:spacing w:val="20"/>
                <w:sz w:val="24"/>
              </w:rPr>
            </w:pPr>
            <w:r>
              <w:rPr>
                <w:rFonts w:ascii="宋体"/>
              </w:rPr>
              <w:t> </w:t>
            </w:r>
          </w:p>
        </w:tc>
        <w:tc>
          <w:tcPr>
            <w:tcW w:w="1400" w:type="dxa"/>
            <w:tcBorders>
              <w:bottom w:val="double" w:color="000000" w:sz="6" w:space="0"/>
            </w:tcBorders>
            <w:vAlign w:val="center"/>
          </w:tcPr>
          <w:p>
            <w:pPr>
              <w:spacing w:line="360" w:lineRule="auto"/>
              <w:rPr>
                <w:rFonts w:ascii="宋体"/>
                <w:spacing w:val="20"/>
                <w:sz w:val="24"/>
              </w:rPr>
            </w:pPr>
            <w:r>
              <w:rPr>
                <w:rFonts w:ascii="宋体"/>
              </w:rPr>
              <w:t> </w:t>
            </w:r>
          </w:p>
        </w:tc>
        <w:tc>
          <w:tcPr>
            <w:tcW w:w="1182" w:type="dxa"/>
            <w:tcBorders>
              <w:bottom w:val="double" w:color="000000" w:sz="6" w:space="0"/>
            </w:tcBorders>
            <w:vAlign w:val="center"/>
          </w:tcPr>
          <w:p>
            <w:pPr>
              <w:spacing w:line="360" w:lineRule="auto"/>
              <w:rPr>
                <w:rFonts w:ascii="宋体"/>
                <w:spacing w:val="20"/>
                <w:sz w:val="24"/>
              </w:rPr>
            </w:pPr>
            <w:r>
              <w:rPr>
                <w:rFonts w:ascii="宋体"/>
              </w:rPr>
              <w:t> </w:t>
            </w:r>
          </w:p>
        </w:tc>
        <w:tc>
          <w:tcPr>
            <w:tcW w:w="1569" w:type="dxa"/>
            <w:tcBorders>
              <w:bottom w:val="double" w:color="000000" w:sz="6" w:space="0"/>
            </w:tcBorders>
            <w:vAlign w:val="center"/>
          </w:tcPr>
          <w:p>
            <w:pPr>
              <w:spacing w:line="360" w:lineRule="auto"/>
              <w:rPr>
                <w:rFonts w:ascii="宋体"/>
                <w:spacing w:val="20"/>
                <w:sz w:val="24"/>
              </w:rPr>
            </w:pPr>
            <w:r>
              <w:rPr>
                <w:rFonts w:ascii="宋体"/>
              </w:rPr>
              <w:t> </w:t>
            </w:r>
          </w:p>
        </w:tc>
        <w:tc>
          <w:tcPr>
            <w:tcW w:w="1264" w:type="dxa"/>
            <w:tcBorders>
              <w:bottom w:val="double" w:color="000000" w:sz="6" w:space="0"/>
            </w:tcBorders>
            <w:vAlign w:val="center"/>
          </w:tcPr>
          <w:p>
            <w:pPr>
              <w:spacing w:line="360" w:lineRule="auto"/>
              <w:rPr>
                <w:rFonts w:ascii="宋体"/>
              </w:rPr>
            </w:pPr>
          </w:p>
        </w:tc>
      </w:tr>
    </w:tbl>
    <w:p>
      <w:pPr>
        <w:tabs>
          <w:tab w:val="left" w:pos="4525"/>
        </w:tabs>
        <w:spacing w:line="460" w:lineRule="exact"/>
        <w:jc w:val="left"/>
        <w:rPr>
          <w:rFonts w:hAnsi="宋体"/>
          <w:sz w:val="24"/>
        </w:rPr>
      </w:pPr>
      <w:r>
        <w:rPr>
          <w:rFonts w:hint="eastAsia" w:hAnsi="宋体"/>
          <w:sz w:val="24"/>
        </w:rPr>
        <w:t>注：以上内容填写必须完整、真实，需提供相关业绩合同的复印件资料及投标人认为需要提供的证明材料。</w:t>
      </w:r>
    </w:p>
    <w:p>
      <w:pPr>
        <w:tabs>
          <w:tab w:val="left" w:pos="4525"/>
        </w:tabs>
        <w:spacing w:line="460" w:lineRule="exact"/>
        <w:jc w:val="left"/>
        <w:rPr>
          <w:rFonts w:hAnsi="宋体"/>
          <w:sz w:val="24"/>
        </w:rPr>
      </w:pPr>
    </w:p>
    <w:p>
      <w:pPr>
        <w:pStyle w:val="18"/>
      </w:pPr>
    </w:p>
    <w:p>
      <w:pPr>
        <w:tabs>
          <w:tab w:val="left" w:pos="4525"/>
        </w:tabs>
        <w:spacing w:line="460" w:lineRule="exact"/>
        <w:jc w:val="left"/>
        <w:rPr>
          <w:rFonts w:hAnsi="宋体"/>
          <w:sz w:val="24"/>
        </w:rPr>
      </w:pPr>
      <w:r>
        <w:rPr>
          <w:rFonts w:hint="eastAsia" w:hAnsi="宋体"/>
          <w:sz w:val="24"/>
        </w:rPr>
        <w:t>投标人全称</w:t>
      </w:r>
      <w:r>
        <w:rPr>
          <w:rFonts w:hint="eastAsia" w:hAnsi="宋体"/>
          <w:sz w:val="24"/>
          <w:lang w:eastAsia="zh-CN"/>
        </w:rPr>
        <w:t>（</w:t>
      </w:r>
      <w:r>
        <w:rPr>
          <w:rFonts w:hint="eastAsia" w:hAnsi="宋体"/>
          <w:sz w:val="24"/>
        </w:rPr>
        <w:t>单位公章</w:t>
      </w:r>
      <w:r>
        <w:rPr>
          <w:rFonts w:hint="eastAsia" w:hAnsi="宋体"/>
          <w:sz w:val="24"/>
          <w:lang w:eastAsia="zh-CN"/>
        </w:rPr>
        <w:t>）</w:t>
      </w:r>
      <w:r>
        <w:rPr>
          <w:rFonts w:hint="eastAsia" w:hAnsi="宋体"/>
          <w:sz w:val="24"/>
        </w:rPr>
        <w:t>：</w:t>
      </w:r>
    </w:p>
    <w:p>
      <w:pPr>
        <w:tabs>
          <w:tab w:val="left" w:pos="4525"/>
        </w:tabs>
        <w:spacing w:line="460" w:lineRule="exact"/>
        <w:jc w:val="left"/>
        <w:rPr>
          <w:rFonts w:hAnsi="宋体"/>
          <w:sz w:val="24"/>
        </w:rPr>
      </w:pPr>
      <w:r>
        <w:rPr>
          <w:rFonts w:hint="eastAsia" w:hAnsi="宋体"/>
          <w:sz w:val="24"/>
        </w:rPr>
        <w:t>法定代表人或委托代理人（盖章或签名）：</w:t>
      </w:r>
    </w:p>
    <w:p>
      <w:pPr>
        <w:tabs>
          <w:tab w:val="left" w:pos="4525"/>
        </w:tabs>
        <w:spacing w:line="460" w:lineRule="exact"/>
        <w:jc w:val="left"/>
        <w:rPr>
          <w:rFonts w:hAnsi="宋体"/>
          <w:sz w:val="24"/>
        </w:rPr>
      </w:pPr>
      <w:r>
        <w:rPr>
          <w:rFonts w:hint="eastAsia" w:hAnsi="宋体"/>
          <w:sz w:val="24"/>
        </w:rPr>
        <w:t>日</w:t>
      </w:r>
      <w:r>
        <w:rPr>
          <w:rFonts w:hAnsi="宋体"/>
          <w:sz w:val="24"/>
        </w:rPr>
        <w:t xml:space="preserve">    </w:t>
      </w:r>
      <w:r>
        <w:rPr>
          <w:rFonts w:hint="eastAsia" w:hAnsi="宋体"/>
          <w:sz w:val="24"/>
        </w:rPr>
        <w:t>期：</w:t>
      </w:r>
    </w:p>
    <w:p>
      <w:pPr>
        <w:widowControl/>
        <w:snapToGrid w:val="0"/>
        <w:spacing w:line="560" w:lineRule="exact"/>
        <w:rPr>
          <w:rFonts w:ascii="宋体" w:cs="宋体"/>
          <w:b/>
          <w:kern w:val="0"/>
          <w:sz w:val="24"/>
        </w:rPr>
      </w:pPr>
    </w:p>
    <w:p>
      <w:pPr>
        <w:pStyle w:val="11"/>
        <w:spacing w:before="120" w:after="120" w:line="480" w:lineRule="auto"/>
        <w:rPr>
          <w:rFonts w:hAnsi="宋体"/>
          <w:b/>
          <w:bCs/>
          <w:spacing w:val="21"/>
          <w:kern w:val="0"/>
          <w:sz w:val="32"/>
          <w:szCs w:val="32"/>
        </w:rPr>
        <w:sectPr>
          <w:pgSz w:w="11906" w:h="16838"/>
          <w:pgMar w:top="1361" w:right="1644" w:bottom="1361" w:left="1644" w:header="851" w:footer="992" w:gutter="0"/>
          <w:pgNumType w:fmt="numberInDash"/>
          <w:cols w:space="425" w:num="1"/>
          <w:docGrid w:type="lines" w:linePitch="312" w:charSpace="0"/>
        </w:sectPr>
      </w:pPr>
    </w:p>
    <w:p>
      <w:pPr>
        <w:widowControl/>
        <w:jc w:val="left"/>
        <w:rPr>
          <w:rFonts w:ascii="宋体"/>
          <w:b/>
          <w:bCs/>
          <w:sz w:val="24"/>
          <w:szCs w:val="24"/>
        </w:rPr>
      </w:pPr>
      <w:r>
        <w:rPr>
          <w:rFonts w:hint="eastAsia" w:ascii="宋体" w:hAnsi="宋体" w:cs="宋体"/>
          <w:b/>
          <w:bCs/>
          <w:sz w:val="24"/>
          <w:szCs w:val="24"/>
        </w:rPr>
        <w:t>附件6:</w:t>
      </w:r>
    </w:p>
    <w:p>
      <w:pPr>
        <w:pStyle w:val="11"/>
        <w:spacing w:before="120" w:after="120" w:line="480" w:lineRule="auto"/>
        <w:jc w:val="center"/>
        <w:rPr>
          <w:rFonts w:hAnsi="宋体"/>
          <w:b/>
          <w:bCs/>
          <w:spacing w:val="21"/>
          <w:kern w:val="0"/>
          <w:sz w:val="32"/>
          <w:szCs w:val="32"/>
        </w:rPr>
      </w:pPr>
      <w:r>
        <w:rPr>
          <w:rFonts w:hint="eastAsia" w:hAnsi="宋体"/>
          <w:b/>
          <w:bCs/>
          <w:spacing w:val="21"/>
          <w:kern w:val="0"/>
          <w:sz w:val="32"/>
          <w:szCs w:val="32"/>
        </w:rPr>
        <w:t>类似项目情况表</w:t>
      </w:r>
    </w:p>
    <w:p>
      <w:pPr>
        <w:spacing w:line="360" w:lineRule="auto"/>
      </w:pPr>
      <w:r>
        <w:rPr>
          <w:rFonts w:hint="eastAsia" w:hAnsi="宋体"/>
          <w:color w:val="000000"/>
          <w:sz w:val="24"/>
        </w:rPr>
        <w:t xml:space="preserve">项目编号：          </w:t>
      </w:r>
      <w:r>
        <w:rPr>
          <w:rFonts w:hint="eastAsia" w:ascii="宋体" w:hAnsi="宋体"/>
          <w:sz w:val="24"/>
        </w:rPr>
        <w:t xml:space="preserve">                        </w:t>
      </w:r>
    </w:p>
    <w:tbl>
      <w:tblPr>
        <w:tblStyle w:val="20"/>
        <w:tblW w:w="9639" w:type="dxa"/>
        <w:jc w:val="center"/>
        <w:tblLayout w:type="fixed"/>
        <w:tblCellMar>
          <w:top w:w="0" w:type="dxa"/>
          <w:left w:w="108" w:type="dxa"/>
          <w:bottom w:w="0" w:type="dxa"/>
          <w:right w:w="108" w:type="dxa"/>
        </w:tblCellMar>
      </w:tblPr>
      <w:tblGrid>
        <w:gridCol w:w="2610"/>
        <w:gridCol w:w="7029"/>
      </w:tblGrid>
      <w:tr>
        <w:tblPrEx>
          <w:tblCellMar>
            <w:top w:w="0" w:type="dxa"/>
            <w:left w:w="108" w:type="dxa"/>
            <w:bottom w:w="0" w:type="dxa"/>
            <w:right w:w="108" w:type="dxa"/>
          </w:tblCellMar>
        </w:tblPrEx>
        <w:trPr>
          <w:trHeight w:val="567" w:hRule="atLeast"/>
          <w:jc w:val="center"/>
        </w:trPr>
        <w:tc>
          <w:tcPr>
            <w:tcW w:w="2610" w:type="dxa"/>
            <w:tcBorders>
              <w:top w:val="single" w:color="auto" w:sz="12"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项目名称</w:t>
            </w:r>
          </w:p>
        </w:tc>
        <w:tc>
          <w:tcPr>
            <w:tcW w:w="7029" w:type="dxa"/>
            <w:tcBorders>
              <w:top w:val="single" w:color="auto" w:sz="12"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567"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项目所在地</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567"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发包人名称</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567"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发包人地址</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567"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发包人电话</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567"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合同价格</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567"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合同签订时间</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567"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承担的工作</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1388"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项目描述</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494"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项目经理</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689" w:hRule="atLeast"/>
          <w:jc w:val="center"/>
        </w:trPr>
        <w:tc>
          <w:tcPr>
            <w:tcW w:w="2610" w:type="dxa"/>
            <w:tcBorders>
              <w:top w:val="single" w:color="auto" w:sz="6" w:space="0"/>
              <w:left w:val="single" w:color="auto" w:sz="12" w:space="0"/>
              <w:bottom w:val="single" w:color="auto" w:sz="12"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是否为创建卫生城市（镇、县城）业绩：</w:t>
            </w:r>
          </w:p>
        </w:tc>
        <w:tc>
          <w:tcPr>
            <w:tcW w:w="7029" w:type="dxa"/>
            <w:tcBorders>
              <w:top w:val="single" w:color="auto" w:sz="6" w:space="0"/>
              <w:left w:val="nil"/>
              <w:bottom w:val="single" w:color="auto" w:sz="12" w:space="0"/>
              <w:right w:val="single" w:color="auto" w:sz="12" w:space="0"/>
            </w:tcBorders>
            <w:vAlign w:val="center"/>
          </w:tcPr>
          <w:p>
            <w:pPr>
              <w:wordWrap w:val="0"/>
              <w:spacing w:line="400" w:lineRule="exact"/>
              <w:jc w:val="center"/>
              <w:rPr>
                <w:rFonts w:ascii="宋体" w:hAnsi="宋体"/>
                <w:color w:val="000000"/>
              </w:rPr>
            </w:pPr>
            <w:r>
              <w:rPr>
                <w:rFonts w:hint="eastAsia" w:ascii="宋体" w:hAnsi="宋体"/>
                <w:color w:val="000000"/>
              </w:rPr>
              <w:t>□国家级、□省级、□地市级、□无</w:t>
            </w:r>
          </w:p>
        </w:tc>
      </w:tr>
    </w:tbl>
    <w:p>
      <w:pPr>
        <w:pStyle w:val="58"/>
        <w:ind w:right="205" w:rightChars="98"/>
        <w:rPr>
          <w:rFonts w:ascii="宋体" w:hAnsi="Courier New"/>
          <w:color w:val="000000"/>
          <w:kern w:val="0"/>
          <w:szCs w:val="21"/>
        </w:rPr>
      </w:pPr>
      <w:r>
        <w:rPr>
          <w:rFonts w:hint="eastAsia" w:ascii="宋体" w:hAnsi="Courier New"/>
          <w:color w:val="000000"/>
          <w:kern w:val="0"/>
          <w:szCs w:val="21"/>
        </w:rPr>
        <w:t>注：1.每张表格只填写一个项目，并标明序号。</w:t>
      </w:r>
    </w:p>
    <w:p>
      <w:pPr>
        <w:ind w:right="205" w:rightChars="98" w:firstLine="420" w:firstLineChars="200"/>
        <w:rPr>
          <w:rFonts w:ascii="宋体" w:hAnsi="Courier New"/>
          <w:color w:val="000000"/>
          <w:kern w:val="0"/>
        </w:rPr>
      </w:pPr>
      <w:r>
        <w:rPr>
          <w:rFonts w:hint="eastAsia" w:ascii="宋体" w:hAnsi="Courier New"/>
          <w:color w:val="000000"/>
          <w:kern w:val="0"/>
        </w:rPr>
        <w:t>2.本表后须附相关业绩合同的复印件及投标人认为需要提供的证明材料。</w:t>
      </w:r>
    </w:p>
    <w:p>
      <w:pPr>
        <w:tabs>
          <w:tab w:val="left" w:pos="4525"/>
        </w:tabs>
        <w:ind w:firstLine="420" w:firstLineChars="200"/>
        <w:jc w:val="left"/>
        <w:rPr>
          <w:rFonts w:ascii="宋体" w:hAnsi="Courier New"/>
          <w:color w:val="000000"/>
          <w:kern w:val="0"/>
        </w:rPr>
      </w:pPr>
      <w:r>
        <w:rPr>
          <w:rFonts w:hint="eastAsia" w:ascii="宋体" w:hAnsi="Courier New"/>
          <w:color w:val="000000"/>
          <w:kern w:val="0"/>
        </w:rPr>
        <w:t>3.如近年来，投标人法人机构发生合法变更或重组或法人名称变更时，应提供相关部门的合法批件或其他相关证明材料来证明其所附业绩的继承性。</w:t>
      </w:r>
    </w:p>
    <w:p>
      <w:pPr>
        <w:tabs>
          <w:tab w:val="left" w:pos="4525"/>
        </w:tabs>
        <w:spacing w:line="460" w:lineRule="exact"/>
        <w:jc w:val="left"/>
        <w:rPr>
          <w:rFonts w:hAnsi="宋体"/>
          <w:sz w:val="24"/>
        </w:rPr>
      </w:pPr>
    </w:p>
    <w:p>
      <w:pPr>
        <w:tabs>
          <w:tab w:val="left" w:pos="4525"/>
        </w:tabs>
        <w:spacing w:line="460" w:lineRule="exact"/>
        <w:jc w:val="left"/>
        <w:rPr>
          <w:rFonts w:hAnsi="宋体"/>
          <w:sz w:val="24"/>
        </w:rPr>
      </w:pPr>
      <w:r>
        <w:rPr>
          <w:rFonts w:hint="eastAsia" w:hAnsi="宋体"/>
          <w:sz w:val="24"/>
        </w:rPr>
        <w:t>投标人全称（单位公章）：</w:t>
      </w:r>
    </w:p>
    <w:p>
      <w:pPr>
        <w:tabs>
          <w:tab w:val="left" w:pos="4525"/>
        </w:tabs>
        <w:spacing w:line="460" w:lineRule="exact"/>
        <w:jc w:val="left"/>
        <w:rPr>
          <w:rFonts w:hAnsi="宋体"/>
          <w:sz w:val="24"/>
        </w:rPr>
      </w:pPr>
      <w:r>
        <w:rPr>
          <w:rFonts w:hint="eastAsia" w:hAnsi="宋体"/>
          <w:sz w:val="24"/>
        </w:rPr>
        <w:t>法定代表人或委托代理人（盖章或签名）：</w:t>
      </w:r>
    </w:p>
    <w:p>
      <w:pPr>
        <w:tabs>
          <w:tab w:val="left" w:pos="4525"/>
        </w:tabs>
        <w:spacing w:line="460" w:lineRule="exact"/>
        <w:jc w:val="left"/>
        <w:rPr>
          <w:rFonts w:hAnsi="宋体"/>
          <w:sz w:val="24"/>
        </w:rPr>
        <w:sectPr>
          <w:pgSz w:w="11907" w:h="16840"/>
          <w:pgMar w:top="1440" w:right="1531" w:bottom="1440" w:left="1928" w:header="851" w:footer="1304" w:gutter="0"/>
          <w:pgNumType w:fmt="numberInDash"/>
          <w:cols w:space="720" w:num="1"/>
          <w:docGrid w:type="linesAndChars" w:linePitch="312" w:charSpace="0"/>
        </w:sectPr>
      </w:pPr>
      <w:r>
        <w:rPr>
          <w:rFonts w:hint="eastAsia" w:hAnsi="宋体"/>
          <w:sz w:val="24"/>
        </w:rPr>
        <w:t>日期：</w:t>
      </w:r>
    </w:p>
    <w:p>
      <w:pPr>
        <w:widowControl/>
        <w:jc w:val="left"/>
        <w:rPr>
          <w:rFonts w:ascii="宋体"/>
          <w:b/>
          <w:bCs/>
          <w:sz w:val="24"/>
          <w:szCs w:val="24"/>
        </w:rPr>
      </w:pPr>
      <w:r>
        <w:rPr>
          <w:rFonts w:hint="eastAsia" w:ascii="宋体" w:hAnsi="宋体" w:cs="宋体"/>
          <w:b/>
          <w:bCs/>
          <w:sz w:val="24"/>
          <w:szCs w:val="24"/>
        </w:rPr>
        <w:t>附件7:</w:t>
      </w:r>
    </w:p>
    <w:p>
      <w:pPr>
        <w:pStyle w:val="6"/>
        <w:spacing w:line="400" w:lineRule="exact"/>
        <w:jc w:val="center"/>
        <w:rPr>
          <w:rFonts w:hint="default" w:ascii="仿宋_GB2312" w:hAnsi="Calibri" w:eastAsia="仿宋_GB2312"/>
          <w:color w:val="auto"/>
          <w:kern w:val="2"/>
          <w:sz w:val="32"/>
          <w:szCs w:val="24"/>
        </w:rPr>
      </w:pPr>
      <w:bookmarkStart w:id="20" w:name="_Toc12511"/>
      <w:bookmarkStart w:id="21" w:name="_Toc20911"/>
      <w:bookmarkStart w:id="22" w:name="_Toc14547"/>
      <w:r>
        <w:rPr>
          <w:rFonts w:ascii="仿宋_GB2312" w:hAnsi="Calibri" w:eastAsia="仿宋_GB2312"/>
          <w:color w:val="auto"/>
          <w:kern w:val="2"/>
          <w:sz w:val="32"/>
          <w:szCs w:val="24"/>
        </w:rPr>
        <w:t>技术、商务偏离表</w:t>
      </w:r>
      <w:bookmarkEnd w:id="20"/>
      <w:bookmarkEnd w:id="21"/>
      <w:bookmarkEnd w:id="22"/>
    </w:p>
    <w:p>
      <w:pPr>
        <w:autoSpaceDE w:val="0"/>
        <w:autoSpaceDN w:val="0"/>
        <w:adjustRightInd w:val="0"/>
        <w:spacing w:line="450" w:lineRule="exact"/>
        <w:ind w:firstLine="120" w:firstLineChars="50"/>
        <w:rPr>
          <w:rFonts w:hAnsi="宋体"/>
          <w:sz w:val="24"/>
        </w:rPr>
      </w:pPr>
      <w:r>
        <w:rPr>
          <w:rFonts w:hint="eastAsia" w:hAnsi="宋体"/>
          <w:sz w:val="24"/>
        </w:rPr>
        <w:t xml:space="preserve">项目编号：  </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0"/>
        <w:gridCol w:w="759"/>
        <w:gridCol w:w="1189"/>
        <w:gridCol w:w="1978"/>
        <w:gridCol w:w="2130"/>
        <w:gridCol w:w="1468"/>
        <w:gridCol w:w="9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1549" w:type="dxa"/>
            <w:gridSpan w:val="2"/>
            <w:vAlign w:val="center"/>
          </w:tcPr>
          <w:p>
            <w:pPr>
              <w:autoSpaceDE w:val="0"/>
              <w:autoSpaceDN w:val="0"/>
              <w:adjustRightInd w:val="0"/>
              <w:jc w:val="center"/>
              <w:rPr>
                <w:rFonts w:hAnsi="宋体"/>
                <w:sz w:val="24"/>
              </w:rPr>
            </w:pPr>
            <w:r>
              <w:rPr>
                <w:rFonts w:hint="eastAsia" w:hAnsi="宋体"/>
                <w:sz w:val="24"/>
              </w:rPr>
              <w:t>序号</w:t>
            </w:r>
          </w:p>
        </w:tc>
        <w:tc>
          <w:tcPr>
            <w:tcW w:w="1189" w:type="dxa"/>
            <w:vAlign w:val="center"/>
          </w:tcPr>
          <w:p>
            <w:pPr>
              <w:autoSpaceDE w:val="0"/>
              <w:autoSpaceDN w:val="0"/>
              <w:adjustRightInd w:val="0"/>
              <w:jc w:val="center"/>
              <w:rPr>
                <w:rFonts w:hAnsi="宋体"/>
                <w:sz w:val="24"/>
              </w:rPr>
            </w:pPr>
            <w:r>
              <w:rPr>
                <w:rFonts w:hint="eastAsia" w:hAnsi="宋体"/>
                <w:sz w:val="24"/>
              </w:rPr>
              <w:t>名称</w:t>
            </w:r>
          </w:p>
        </w:tc>
        <w:tc>
          <w:tcPr>
            <w:tcW w:w="1978" w:type="dxa"/>
            <w:vAlign w:val="center"/>
          </w:tcPr>
          <w:p>
            <w:pPr>
              <w:autoSpaceDE w:val="0"/>
              <w:autoSpaceDN w:val="0"/>
              <w:adjustRightInd w:val="0"/>
              <w:ind w:left="-105" w:leftChars="-50" w:right="-100"/>
              <w:jc w:val="center"/>
              <w:rPr>
                <w:rFonts w:hAnsi="宋体"/>
                <w:spacing w:val="-12"/>
                <w:sz w:val="24"/>
              </w:rPr>
            </w:pPr>
            <w:r>
              <w:rPr>
                <w:rFonts w:hint="eastAsia" w:hAnsi="宋体"/>
                <w:sz w:val="24"/>
              </w:rPr>
              <w:t>招标文件要求</w:t>
            </w:r>
          </w:p>
        </w:tc>
        <w:tc>
          <w:tcPr>
            <w:tcW w:w="2130" w:type="dxa"/>
            <w:vAlign w:val="center"/>
          </w:tcPr>
          <w:p>
            <w:pPr>
              <w:autoSpaceDE w:val="0"/>
              <w:autoSpaceDN w:val="0"/>
              <w:adjustRightInd w:val="0"/>
              <w:jc w:val="center"/>
              <w:rPr>
                <w:rFonts w:hAnsi="宋体"/>
                <w:sz w:val="24"/>
              </w:rPr>
            </w:pPr>
            <w:r>
              <w:rPr>
                <w:rFonts w:hint="eastAsia" w:hAnsi="宋体"/>
                <w:sz w:val="24"/>
              </w:rPr>
              <w:t>投标文件响应</w:t>
            </w:r>
          </w:p>
        </w:tc>
        <w:tc>
          <w:tcPr>
            <w:tcW w:w="1468" w:type="dxa"/>
            <w:vAlign w:val="center"/>
          </w:tcPr>
          <w:p>
            <w:pPr>
              <w:autoSpaceDE w:val="0"/>
              <w:autoSpaceDN w:val="0"/>
              <w:adjustRightInd w:val="0"/>
              <w:jc w:val="center"/>
              <w:rPr>
                <w:rFonts w:hAnsi="宋体"/>
                <w:sz w:val="24"/>
              </w:rPr>
            </w:pPr>
            <w:r>
              <w:rPr>
                <w:rFonts w:hint="eastAsia" w:hAnsi="宋体"/>
                <w:sz w:val="24"/>
              </w:rPr>
              <w:t>偏离情况</w:t>
            </w:r>
          </w:p>
        </w:tc>
        <w:tc>
          <w:tcPr>
            <w:tcW w:w="986" w:type="dxa"/>
            <w:vAlign w:val="center"/>
          </w:tcPr>
          <w:p>
            <w:pPr>
              <w:autoSpaceDE w:val="0"/>
              <w:autoSpaceDN w:val="0"/>
              <w:adjustRightInd w:val="0"/>
              <w:jc w:val="center"/>
              <w:rPr>
                <w:rFonts w:hAnsi="宋体"/>
                <w:sz w:val="24"/>
              </w:rPr>
            </w:pPr>
            <w:r>
              <w:rPr>
                <w:rFonts w:hint="eastAsia" w:hAnsi="宋体"/>
                <w:sz w:val="24"/>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790" w:type="dxa"/>
            <w:vMerge w:val="restart"/>
            <w:vAlign w:val="center"/>
          </w:tcPr>
          <w:p>
            <w:pPr>
              <w:autoSpaceDE w:val="0"/>
              <w:autoSpaceDN w:val="0"/>
              <w:adjustRightInd w:val="0"/>
              <w:jc w:val="center"/>
              <w:rPr>
                <w:rFonts w:hAnsi="宋体"/>
                <w:sz w:val="24"/>
              </w:rPr>
            </w:pPr>
            <w:r>
              <w:rPr>
                <w:rFonts w:hint="eastAsia" w:hAnsi="宋体"/>
                <w:sz w:val="24"/>
              </w:rPr>
              <w:t>技术偏离</w:t>
            </w:r>
          </w:p>
        </w:tc>
        <w:tc>
          <w:tcPr>
            <w:tcW w:w="759" w:type="dxa"/>
            <w:vAlign w:val="center"/>
          </w:tcPr>
          <w:p>
            <w:pPr>
              <w:pStyle w:val="11"/>
              <w:spacing w:line="300" w:lineRule="exact"/>
              <w:jc w:val="center"/>
              <w:rPr>
                <w:rFonts w:hAnsi="宋体"/>
                <w:sz w:val="24"/>
              </w:rPr>
            </w:pPr>
            <w:r>
              <w:rPr>
                <w:rFonts w:hAnsi="宋体"/>
                <w:sz w:val="24"/>
              </w:rPr>
              <w:t>1</w:t>
            </w:r>
          </w:p>
        </w:tc>
        <w:tc>
          <w:tcPr>
            <w:tcW w:w="1189" w:type="dxa"/>
            <w:vAlign w:val="center"/>
          </w:tcPr>
          <w:p>
            <w:pPr>
              <w:autoSpaceDE w:val="0"/>
              <w:autoSpaceDN w:val="0"/>
              <w:adjustRightInd w:val="0"/>
              <w:jc w:val="center"/>
              <w:rPr>
                <w:rFonts w:hAnsi="宋体"/>
                <w:sz w:val="24"/>
              </w:rPr>
            </w:pPr>
          </w:p>
        </w:tc>
        <w:tc>
          <w:tcPr>
            <w:tcW w:w="1978" w:type="dxa"/>
            <w:vAlign w:val="center"/>
          </w:tcPr>
          <w:p>
            <w:pPr>
              <w:autoSpaceDE w:val="0"/>
              <w:autoSpaceDN w:val="0"/>
              <w:adjustRightInd w:val="0"/>
              <w:jc w:val="center"/>
              <w:rPr>
                <w:rFonts w:hAnsi="宋体"/>
                <w:sz w:val="24"/>
              </w:rPr>
            </w:pPr>
          </w:p>
        </w:tc>
        <w:tc>
          <w:tcPr>
            <w:tcW w:w="2130" w:type="dxa"/>
            <w:vAlign w:val="center"/>
          </w:tcPr>
          <w:p>
            <w:pPr>
              <w:autoSpaceDE w:val="0"/>
              <w:autoSpaceDN w:val="0"/>
              <w:adjustRightInd w:val="0"/>
              <w:jc w:val="center"/>
              <w:rPr>
                <w:rFonts w:hAnsi="宋体"/>
                <w:sz w:val="24"/>
              </w:rPr>
            </w:pPr>
          </w:p>
        </w:tc>
        <w:tc>
          <w:tcPr>
            <w:tcW w:w="1468" w:type="dxa"/>
            <w:vAlign w:val="center"/>
          </w:tcPr>
          <w:p>
            <w:pPr>
              <w:autoSpaceDE w:val="0"/>
              <w:autoSpaceDN w:val="0"/>
              <w:adjustRightInd w:val="0"/>
              <w:jc w:val="center"/>
              <w:rPr>
                <w:rFonts w:hAnsi="宋体"/>
                <w:sz w:val="24"/>
              </w:rPr>
            </w:pPr>
          </w:p>
        </w:tc>
        <w:tc>
          <w:tcPr>
            <w:tcW w:w="986" w:type="dxa"/>
            <w:vAlign w:val="center"/>
          </w:tcPr>
          <w:p>
            <w:pPr>
              <w:autoSpaceDE w:val="0"/>
              <w:autoSpaceDN w:val="0"/>
              <w:adjustRightInd w:val="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790" w:type="dxa"/>
            <w:vMerge w:val="continue"/>
            <w:vAlign w:val="center"/>
          </w:tcPr>
          <w:p>
            <w:pPr>
              <w:autoSpaceDE w:val="0"/>
              <w:autoSpaceDN w:val="0"/>
              <w:adjustRightInd w:val="0"/>
              <w:jc w:val="center"/>
              <w:rPr>
                <w:rFonts w:hAnsi="宋体"/>
                <w:sz w:val="24"/>
              </w:rPr>
            </w:pPr>
          </w:p>
        </w:tc>
        <w:tc>
          <w:tcPr>
            <w:tcW w:w="759" w:type="dxa"/>
            <w:vAlign w:val="center"/>
          </w:tcPr>
          <w:p>
            <w:pPr>
              <w:pStyle w:val="11"/>
              <w:spacing w:line="300" w:lineRule="exact"/>
              <w:jc w:val="center"/>
              <w:rPr>
                <w:rFonts w:hAnsi="宋体"/>
                <w:sz w:val="24"/>
              </w:rPr>
            </w:pPr>
            <w:r>
              <w:rPr>
                <w:rFonts w:hAnsi="宋体"/>
                <w:sz w:val="24"/>
              </w:rPr>
              <w:t>2</w:t>
            </w:r>
          </w:p>
        </w:tc>
        <w:tc>
          <w:tcPr>
            <w:tcW w:w="1189" w:type="dxa"/>
            <w:vAlign w:val="center"/>
          </w:tcPr>
          <w:p>
            <w:pPr>
              <w:autoSpaceDE w:val="0"/>
              <w:autoSpaceDN w:val="0"/>
              <w:adjustRightInd w:val="0"/>
              <w:jc w:val="center"/>
              <w:rPr>
                <w:rFonts w:hAnsi="宋体"/>
                <w:sz w:val="24"/>
              </w:rPr>
            </w:pPr>
          </w:p>
        </w:tc>
        <w:tc>
          <w:tcPr>
            <w:tcW w:w="1978" w:type="dxa"/>
            <w:vAlign w:val="center"/>
          </w:tcPr>
          <w:p>
            <w:pPr>
              <w:autoSpaceDE w:val="0"/>
              <w:autoSpaceDN w:val="0"/>
              <w:adjustRightInd w:val="0"/>
              <w:jc w:val="center"/>
              <w:rPr>
                <w:rFonts w:hAnsi="宋体"/>
                <w:sz w:val="24"/>
              </w:rPr>
            </w:pPr>
          </w:p>
        </w:tc>
        <w:tc>
          <w:tcPr>
            <w:tcW w:w="2130" w:type="dxa"/>
            <w:vAlign w:val="center"/>
          </w:tcPr>
          <w:p>
            <w:pPr>
              <w:autoSpaceDE w:val="0"/>
              <w:autoSpaceDN w:val="0"/>
              <w:adjustRightInd w:val="0"/>
              <w:jc w:val="center"/>
              <w:rPr>
                <w:rFonts w:hAnsi="宋体"/>
                <w:sz w:val="24"/>
              </w:rPr>
            </w:pPr>
          </w:p>
        </w:tc>
        <w:tc>
          <w:tcPr>
            <w:tcW w:w="1468" w:type="dxa"/>
            <w:vAlign w:val="center"/>
          </w:tcPr>
          <w:p>
            <w:pPr>
              <w:autoSpaceDE w:val="0"/>
              <w:autoSpaceDN w:val="0"/>
              <w:adjustRightInd w:val="0"/>
              <w:jc w:val="center"/>
              <w:rPr>
                <w:rFonts w:hAnsi="宋体"/>
                <w:sz w:val="24"/>
              </w:rPr>
            </w:pPr>
          </w:p>
        </w:tc>
        <w:tc>
          <w:tcPr>
            <w:tcW w:w="986" w:type="dxa"/>
            <w:vAlign w:val="center"/>
          </w:tcPr>
          <w:p>
            <w:pPr>
              <w:autoSpaceDE w:val="0"/>
              <w:autoSpaceDN w:val="0"/>
              <w:adjustRightInd w:val="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90" w:type="dxa"/>
            <w:vMerge w:val="continue"/>
            <w:vAlign w:val="center"/>
          </w:tcPr>
          <w:p>
            <w:pPr>
              <w:autoSpaceDE w:val="0"/>
              <w:autoSpaceDN w:val="0"/>
              <w:adjustRightInd w:val="0"/>
              <w:jc w:val="center"/>
              <w:rPr>
                <w:rFonts w:hAnsi="宋体"/>
                <w:sz w:val="24"/>
              </w:rPr>
            </w:pPr>
          </w:p>
        </w:tc>
        <w:tc>
          <w:tcPr>
            <w:tcW w:w="759" w:type="dxa"/>
            <w:vAlign w:val="center"/>
          </w:tcPr>
          <w:p>
            <w:pPr>
              <w:pStyle w:val="11"/>
              <w:spacing w:line="300" w:lineRule="exact"/>
              <w:jc w:val="center"/>
              <w:rPr>
                <w:rFonts w:hAnsi="宋体"/>
                <w:sz w:val="24"/>
              </w:rPr>
            </w:pPr>
            <w:r>
              <w:rPr>
                <w:rFonts w:hAnsi="宋体"/>
                <w:sz w:val="24"/>
              </w:rPr>
              <w:t>…</w:t>
            </w:r>
          </w:p>
        </w:tc>
        <w:tc>
          <w:tcPr>
            <w:tcW w:w="1189" w:type="dxa"/>
            <w:vAlign w:val="center"/>
          </w:tcPr>
          <w:p>
            <w:pPr>
              <w:autoSpaceDE w:val="0"/>
              <w:autoSpaceDN w:val="0"/>
              <w:adjustRightInd w:val="0"/>
              <w:jc w:val="center"/>
              <w:rPr>
                <w:rFonts w:hAnsi="宋体"/>
                <w:sz w:val="24"/>
              </w:rPr>
            </w:pPr>
          </w:p>
        </w:tc>
        <w:tc>
          <w:tcPr>
            <w:tcW w:w="1978" w:type="dxa"/>
            <w:vAlign w:val="center"/>
          </w:tcPr>
          <w:p>
            <w:pPr>
              <w:autoSpaceDE w:val="0"/>
              <w:autoSpaceDN w:val="0"/>
              <w:adjustRightInd w:val="0"/>
              <w:jc w:val="center"/>
              <w:rPr>
                <w:rFonts w:hAnsi="宋体"/>
                <w:sz w:val="24"/>
              </w:rPr>
            </w:pPr>
          </w:p>
        </w:tc>
        <w:tc>
          <w:tcPr>
            <w:tcW w:w="2130" w:type="dxa"/>
            <w:vAlign w:val="center"/>
          </w:tcPr>
          <w:p>
            <w:pPr>
              <w:autoSpaceDE w:val="0"/>
              <w:autoSpaceDN w:val="0"/>
              <w:adjustRightInd w:val="0"/>
              <w:jc w:val="center"/>
              <w:rPr>
                <w:rFonts w:hAnsi="宋体"/>
                <w:sz w:val="24"/>
              </w:rPr>
            </w:pPr>
          </w:p>
        </w:tc>
        <w:tc>
          <w:tcPr>
            <w:tcW w:w="1468" w:type="dxa"/>
            <w:vAlign w:val="center"/>
          </w:tcPr>
          <w:p>
            <w:pPr>
              <w:autoSpaceDE w:val="0"/>
              <w:autoSpaceDN w:val="0"/>
              <w:adjustRightInd w:val="0"/>
              <w:jc w:val="center"/>
              <w:rPr>
                <w:rFonts w:hAnsi="宋体"/>
                <w:sz w:val="24"/>
              </w:rPr>
            </w:pPr>
          </w:p>
        </w:tc>
        <w:tc>
          <w:tcPr>
            <w:tcW w:w="986" w:type="dxa"/>
            <w:vAlign w:val="center"/>
          </w:tcPr>
          <w:p>
            <w:pPr>
              <w:autoSpaceDE w:val="0"/>
              <w:autoSpaceDN w:val="0"/>
              <w:adjustRightInd w:val="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90" w:type="dxa"/>
            <w:vMerge w:val="continue"/>
            <w:vAlign w:val="center"/>
          </w:tcPr>
          <w:p>
            <w:pPr>
              <w:autoSpaceDE w:val="0"/>
              <w:autoSpaceDN w:val="0"/>
              <w:adjustRightInd w:val="0"/>
              <w:jc w:val="center"/>
              <w:rPr>
                <w:rFonts w:hAnsi="宋体"/>
                <w:sz w:val="24"/>
              </w:rPr>
            </w:pPr>
          </w:p>
        </w:tc>
        <w:tc>
          <w:tcPr>
            <w:tcW w:w="759" w:type="dxa"/>
            <w:vAlign w:val="center"/>
          </w:tcPr>
          <w:p>
            <w:pPr>
              <w:autoSpaceDE w:val="0"/>
              <w:autoSpaceDN w:val="0"/>
              <w:adjustRightInd w:val="0"/>
              <w:jc w:val="center"/>
              <w:rPr>
                <w:rFonts w:hAnsi="宋体"/>
                <w:sz w:val="24"/>
              </w:rPr>
            </w:pPr>
          </w:p>
        </w:tc>
        <w:tc>
          <w:tcPr>
            <w:tcW w:w="1189" w:type="dxa"/>
            <w:vAlign w:val="center"/>
          </w:tcPr>
          <w:p>
            <w:pPr>
              <w:autoSpaceDE w:val="0"/>
              <w:autoSpaceDN w:val="0"/>
              <w:adjustRightInd w:val="0"/>
              <w:jc w:val="center"/>
              <w:rPr>
                <w:rFonts w:hAnsi="宋体"/>
                <w:sz w:val="24"/>
              </w:rPr>
            </w:pPr>
          </w:p>
        </w:tc>
        <w:tc>
          <w:tcPr>
            <w:tcW w:w="1978" w:type="dxa"/>
            <w:vAlign w:val="center"/>
          </w:tcPr>
          <w:p>
            <w:pPr>
              <w:autoSpaceDE w:val="0"/>
              <w:autoSpaceDN w:val="0"/>
              <w:adjustRightInd w:val="0"/>
              <w:jc w:val="center"/>
              <w:rPr>
                <w:rFonts w:hAnsi="宋体"/>
                <w:sz w:val="24"/>
              </w:rPr>
            </w:pPr>
          </w:p>
        </w:tc>
        <w:tc>
          <w:tcPr>
            <w:tcW w:w="2130" w:type="dxa"/>
            <w:vAlign w:val="center"/>
          </w:tcPr>
          <w:p>
            <w:pPr>
              <w:autoSpaceDE w:val="0"/>
              <w:autoSpaceDN w:val="0"/>
              <w:adjustRightInd w:val="0"/>
              <w:jc w:val="center"/>
              <w:rPr>
                <w:rFonts w:hAnsi="宋体"/>
                <w:sz w:val="24"/>
              </w:rPr>
            </w:pPr>
          </w:p>
        </w:tc>
        <w:tc>
          <w:tcPr>
            <w:tcW w:w="1468" w:type="dxa"/>
            <w:vAlign w:val="center"/>
          </w:tcPr>
          <w:p>
            <w:pPr>
              <w:autoSpaceDE w:val="0"/>
              <w:autoSpaceDN w:val="0"/>
              <w:adjustRightInd w:val="0"/>
              <w:jc w:val="center"/>
              <w:rPr>
                <w:rFonts w:hAnsi="宋体"/>
                <w:sz w:val="24"/>
              </w:rPr>
            </w:pPr>
          </w:p>
        </w:tc>
        <w:tc>
          <w:tcPr>
            <w:tcW w:w="986" w:type="dxa"/>
            <w:vAlign w:val="center"/>
          </w:tcPr>
          <w:p>
            <w:pPr>
              <w:autoSpaceDE w:val="0"/>
              <w:autoSpaceDN w:val="0"/>
              <w:adjustRightInd w:val="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9" w:hRule="atLeast"/>
          <w:jc w:val="center"/>
        </w:trPr>
        <w:tc>
          <w:tcPr>
            <w:tcW w:w="790" w:type="dxa"/>
            <w:vMerge w:val="restart"/>
            <w:vAlign w:val="center"/>
          </w:tcPr>
          <w:p>
            <w:pPr>
              <w:autoSpaceDE w:val="0"/>
              <w:autoSpaceDN w:val="0"/>
              <w:adjustRightInd w:val="0"/>
              <w:jc w:val="center"/>
              <w:rPr>
                <w:rFonts w:hAnsi="宋体"/>
                <w:sz w:val="24"/>
              </w:rPr>
            </w:pPr>
            <w:r>
              <w:rPr>
                <w:rFonts w:hint="eastAsia" w:hAnsi="宋体"/>
                <w:sz w:val="24"/>
              </w:rPr>
              <w:t>商务偏离</w:t>
            </w:r>
          </w:p>
        </w:tc>
        <w:tc>
          <w:tcPr>
            <w:tcW w:w="759" w:type="dxa"/>
            <w:vAlign w:val="center"/>
          </w:tcPr>
          <w:p>
            <w:pPr>
              <w:pStyle w:val="11"/>
              <w:spacing w:line="300" w:lineRule="exact"/>
              <w:jc w:val="center"/>
              <w:rPr>
                <w:rFonts w:hAnsi="宋体"/>
                <w:sz w:val="24"/>
              </w:rPr>
            </w:pPr>
            <w:r>
              <w:rPr>
                <w:rFonts w:hAnsi="宋体"/>
                <w:sz w:val="24"/>
              </w:rPr>
              <w:t>1</w:t>
            </w:r>
          </w:p>
        </w:tc>
        <w:tc>
          <w:tcPr>
            <w:tcW w:w="1189" w:type="dxa"/>
            <w:vAlign w:val="center"/>
          </w:tcPr>
          <w:p>
            <w:pPr>
              <w:autoSpaceDE w:val="0"/>
              <w:autoSpaceDN w:val="0"/>
              <w:adjustRightInd w:val="0"/>
              <w:jc w:val="center"/>
              <w:rPr>
                <w:rFonts w:hAnsi="宋体"/>
                <w:sz w:val="24"/>
              </w:rPr>
            </w:pPr>
          </w:p>
        </w:tc>
        <w:tc>
          <w:tcPr>
            <w:tcW w:w="1978" w:type="dxa"/>
            <w:vAlign w:val="center"/>
          </w:tcPr>
          <w:p>
            <w:pPr>
              <w:autoSpaceDE w:val="0"/>
              <w:autoSpaceDN w:val="0"/>
              <w:adjustRightInd w:val="0"/>
              <w:jc w:val="center"/>
              <w:rPr>
                <w:rFonts w:hAnsi="宋体"/>
                <w:sz w:val="24"/>
              </w:rPr>
            </w:pPr>
          </w:p>
        </w:tc>
        <w:tc>
          <w:tcPr>
            <w:tcW w:w="2130" w:type="dxa"/>
            <w:vAlign w:val="center"/>
          </w:tcPr>
          <w:p>
            <w:pPr>
              <w:autoSpaceDE w:val="0"/>
              <w:autoSpaceDN w:val="0"/>
              <w:adjustRightInd w:val="0"/>
              <w:jc w:val="center"/>
              <w:rPr>
                <w:rFonts w:hAnsi="宋体"/>
                <w:sz w:val="24"/>
              </w:rPr>
            </w:pPr>
          </w:p>
        </w:tc>
        <w:tc>
          <w:tcPr>
            <w:tcW w:w="1468" w:type="dxa"/>
            <w:vAlign w:val="center"/>
          </w:tcPr>
          <w:p>
            <w:pPr>
              <w:autoSpaceDE w:val="0"/>
              <w:autoSpaceDN w:val="0"/>
              <w:adjustRightInd w:val="0"/>
              <w:jc w:val="center"/>
              <w:rPr>
                <w:rFonts w:hAnsi="宋体"/>
                <w:sz w:val="24"/>
              </w:rPr>
            </w:pPr>
          </w:p>
        </w:tc>
        <w:tc>
          <w:tcPr>
            <w:tcW w:w="986" w:type="dxa"/>
            <w:vAlign w:val="center"/>
          </w:tcPr>
          <w:p>
            <w:pPr>
              <w:autoSpaceDE w:val="0"/>
              <w:autoSpaceDN w:val="0"/>
              <w:adjustRightInd w:val="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jc w:val="center"/>
        </w:trPr>
        <w:tc>
          <w:tcPr>
            <w:tcW w:w="790" w:type="dxa"/>
            <w:vMerge w:val="continue"/>
            <w:vAlign w:val="center"/>
          </w:tcPr>
          <w:p>
            <w:pPr>
              <w:autoSpaceDE w:val="0"/>
              <w:autoSpaceDN w:val="0"/>
              <w:adjustRightInd w:val="0"/>
              <w:jc w:val="center"/>
              <w:rPr>
                <w:rFonts w:hAnsi="宋体"/>
                <w:sz w:val="24"/>
              </w:rPr>
            </w:pPr>
          </w:p>
        </w:tc>
        <w:tc>
          <w:tcPr>
            <w:tcW w:w="759" w:type="dxa"/>
            <w:vAlign w:val="center"/>
          </w:tcPr>
          <w:p>
            <w:pPr>
              <w:pStyle w:val="11"/>
              <w:spacing w:line="300" w:lineRule="exact"/>
              <w:jc w:val="center"/>
              <w:rPr>
                <w:rFonts w:hAnsi="宋体"/>
                <w:sz w:val="24"/>
              </w:rPr>
            </w:pPr>
            <w:r>
              <w:rPr>
                <w:rFonts w:hAnsi="宋体"/>
                <w:sz w:val="24"/>
              </w:rPr>
              <w:t>2</w:t>
            </w:r>
          </w:p>
        </w:tc>
        <w:tc>
          <w:tcPr>
            <w:tcW w:w="1189" w:type="dxa"/>
            <w:vAlign w:val="center"/>
          </w:tcPr>
          <w:p>
            <w:pPr>
              <w:autoSpaceDE w:val="0"/>
              <w:autoSpaceDN w:val="0"/>
              <w:adjustRightInd w:val="0"/>
              <w:jc w:val="center"/>
              <w:rPr>
                <w:rFonts w:hAnsi="宋体"/>
                <w:sz w:val="24"/>
              </w:rPr>
            </w:pPr>
          </w:p>
        </w:tc>
        <w:tc>
          <w:tcPr>
            <w:tcW w:w="1978" w:type="dxa"/>
            <w:vAlign w:val="center"/>
          </w:tcPr>
          <w:p>
            <w:pPr>
              <w:autoSpaceDE w:val="0"/>
              <w:autoSpaceDN w:val="0"/>
              <w:adjustRightInd w:val="0"/>
              <w:jc w:val="center"/>
              <w:rPr>
                <w:rFonts w:hAnsi="宋体"/>
                <w:sz w:val="24"/>
              </w:rPr>
            </w:pPr>
          </w:p>
        </w:tc>
        <w:tc>
          <w:tcPr>
            <w:tcW w:w="2130" w:type="dxa"/>
            <w:vAlign w:val="center"/>
          </w:tcPr>
          <w:p>
            <w:pPr>
              <w:autoSpaceDE w:val="0"/>
              <w:autoSpaceDN w:val="0"/>
              <w:adjustRightInd w:val="0"/>
              <w:jc w:val="center"/>
              <w:rPr>
                <w:rFonts w:hAnsi="宋体"/>
                <w:sz w:val="24"/>
              </w:rPr>
            </w:pPr>
          </w:p>
        </w:tc>
        <w:tc>
          <w:tcPr>
            <w:tcW w:w="1468" w:type="dxa"/>
            <w:vAlign w:val="center"/>
          </w:tcPr>
          <w:p>
            <w:pPr>
              <w:autoSpaceDE w:val="0"/>
              <w:autoSpaceDN w:val="0"/>
              <w:adjustRightInd w:val="0"/>
              <w:jc w:val="center"/>
              <w:rPr>
                <w:rFonts w:hAnsi="宋体"/>
                <w:sz w:val="24"/>
              </w:rPr>
            </w:pPr>
          </w:p>
        </w:tc>
        <w:tc>
          <w:tcPr>
            <w:tcW w:w="986" w:type="dxa"/>
            <w:vAlign w:val="center"/>
          </w:tcPr>
          <w:p>
            <w:pPr>
              <w:autoSpaceDE w:val="0"/>
              <w:autoSpaceDN w:val="0"/>
              <w:adjustRightInd w:val="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jc w:val="center"/>
        </w:trPr>
        <w:tc>
          <w:tcPr>
            <w:tcW w:w="790" w:type="dxa"/>
            <w:vMerge w:val="continue"/>
            <w:vAlign w:val="center"/>
          </w:tcPr>
          <w:p>
            <w:pPr>
              <w:autoSpaceDE w:val="0"/>
              <w:autoSpaceDN w:val="0"/>
              <w:adjustRightInd w:val="0"/>
              <w:jc w:val="center"/>
              <w:rPr>
                <w:rFonts w:hAnsi="宋体"/>
                <w:sz w:val="24"/>
              </w:rPr>
            </w:pPr>
          </w:p>
        </w:tc>
        <w:tc>
          <w:tcPr>
            <w:tcW w:w="759" w:type="dxa"/>
            <w:vAlign w:val="center"/>
          </w:tcPr>
          <w:p>
            <w:pPr>
              <w:pStyle w:val="11"/>
              <w:spacing w:line="300" w:lineRule="exact"/>
              <w:jc w:val="center"/>
              <w:rPr>
                <w:rFonts w:hAnsi="宋体"/>
                <w:sz w:val="24"/>
              </w:rPr>
            </w:pPr>
            <w:r>
              <w:rPr>
                <w:rFonts w:hAnsi="宋体"/>
                <w:sz w:val="24"/>
              </w:rPr>
              <w:t>3</w:t>
            </w:r>
          </w:p>
        </w:tc>
        <w:tc>
          <w:tcPr>
            <w:tcW w:w="1189" w:type="dxa"/>
            <w:vAlign w:val="center"/>
          </w:tcPr>
          <w:p>
            <w:pPr>
              <w:autoSpaceDE w:val="0"/>
              <w:autoSpaceDN w:val="0"/>
              <w:adjustRightInd w:val="0"/>
              <w:jc w:val="center"/>
              <w:rPr>
                <w:rFonts w:hAnsi="宋体"/>
                <w:sz w:val="24"/>
              </w:rPr>
            </w:pPr>
          </w:p>
        </w:tc>
        <w:tc>
          <w:tcPr>
            <w:tcW w:w="1978" w:type="dxa"/>
            <w:vAlign w:val="center"/>
          </w:tcPr>
          <w:p>
            <w:pPr>
              <w:autoSpaceDE w:val="0"/>
              <w:autoSpaceDN w:val="0"/>
              <w:adjustRightInd w:val="0"/>
              <w:jc w:val="center"/>
              <w:rPr>
                <w:rFonts w:hAnsi="宋体"/>
                <w:sz w:val="24"/>
              </w:rPr>
            </w:pPr>
          </w:p>
        </w:tc>
        <w:tc>
          <w:tcPr>
            <w:tcW w:w="2130" w:type="dxa"/>
            <w:vAlign w:val="center"/>
          </w:tcPr>
          <w:p>
            <w:pPr>
              <w:autoSpaceDE w:val="0"/>
              <w:autoSpaceDN w:val="0"/>
              <w:adjustRightInd w:val="0"/>
              <w:jc w:val="center"/>
              <w:rPr>
                <w:rFonts w:hAnsi="宋体"/>
                <w:sz w:val="24"/>
              </w:rPr>
            </w:pPr>
          </w:p>
        </w:tc>
        <w:tc>
          <w:tcPr>
            <w:tcW w:w="1468" w:type="dxa"/>
            <w:vAlign w:val="center"/>
          </w:tcPr>
          <w:p>
            <w:pPr>
              <w:autoSpaceDE w:val="0"/>
              <w:autoSpaceDN w:val="0"/>
              <w:adjustRightInd w:val="0"/>
              <w:jc w:val="center"/>
              <w:rPr>
                <w:rFonts w:hAnsi="宋体"/>
                <w:sz w:val="24"/>
              </w:rPr>
            </w:pPr>
          </w:p>
        </w:tc>
        <w:tc>
          <w:tcPr>
            <w:tcW w:w="986" w:type="dxa"/>
            <w:vAlign w:val="center"/>
          </w:tcPr>
          <w:p>
            <w:pPr>
              <w:autoSpaceDE w:val="0"/>
              <w:autoSpaceDN w:val="0"/>
              <w:adjustRightInd w:val="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790" w:type="dxa"/>
            <w:vMerge w:val="continue"/>
            <w:vAlign w:val="center"/>
          </w:tcPr>
          <w:p>
            <w:pPr>
              <w:autoSpaceDE w:val="0"/>
              <w:autoSpaceDN w:val="0"/>
              <w:adjustRightInd w:val="0"/>
              <w:jc w:val="center"/>
              <w:rPr>
                <w:rFonts w:hAnsi="宋体"/>
                <w:sz w:val="24"/>
              </w:rPr>
            </w:pPr>
          </w:p>
        </w:tc>
        <w:tc>
          <w:tcPr>
            <w:tcW w:w="759" w:type="dxa"/>
            <w:vAlign w:val="center"/>
          </w:tcPr>
          <w:p>
            <w:pPr>
              <w:autoSpaceDE w:val="0"/>
              <w:autoSpaceDN w:val="0"/>
              <w:adjustRightInd w:val="0"/>
              <w:jc w:val="center"/>
              <w:rPr>
                <w:rFonts w:hAnsi="宋体"/>
                <w:sz w:val="24"/>
              </w:rPr>
            </w:pPr>
            <w:r>
              <w:rPr>
                <w:rFonts w:hint="eastAsia" w:hAnsi="宋体"/>
                <w:sz w:val="24"/>
              </w:rPr>
              <w:t>…</w:t>
            </w:r>
          </w:p>
        </w:tc>
        <w:tc>
          <w:tcPr>
            <w:tcW w:w="1189" w:type="dxa"/>
            <w:vAlign w:val="center"/>
          </w:tcPr>
          <w:p>
            <w:pPr>
              <w:autoSpaceDE w:val="0"/>
              <w:autoSpaceDN w:val="0"/>
              <w:adjustRightInd w:val="0"/>
              <w:jc w:val="center"/>
              <w:rPr>
                <w:rFonts w:hAnsi="宋体"/>
                <w:sz w:val="24"/>
              </w:rPr>
            </w:pPr>
          </w:p>
        </w:tc>
        <w:tc>
          <w:tcPr>
            <w:tcW w:w="1978" w:type="dxa"/>
            <w:vAlign w:val="center"/>
          </w:tcPr>
          <w:p>
            <w:pPr>
              <w:autoSpaceDE w:val="0"/>
              <w:autoSpaceDN w:val="0"/>
              <w:adjustRightInd w:val="0"/>
              <w:jc w:val="center"/>
              <w:rPr>
                <w:rFonts w:hAnsi="宋体"/>
                <w:sz w:val="24"/>
              </w:rPr>
            </w:pPr>
          </w:p>
        </w:tc>
        <w:tc>
          <w:tcPr>
            <w:tcW w:w="2130" w:type="dxa"/>
            <w:vAlign w:val="center"/>
          </w:tcPr>
          <w:p>
            <w:pPr>
              <w:autoSpaceDE w:val="0"/>
              <w:autoSpaceDN w:val="0"/>
              <w:adjustRightInd w:val="0"/>
              <w:jc w:val="center"/>
              <w:rPr>
                <w:rFonts w:hAnsi="宋体"/>
                <w:sz w:val="24"/>
              </w:rPr>
            </w:pPr>
          </w:p>
        </w:tc>
        <w:tc>
          <w:tcPr>
            <w:tcW w:w="1468" w:type="dxa"/>
            <w:vAlign w:val="center"/>
          </w:tcPr>
          <w:p>
            <w:pPr>
              <w:autoSpaceDE w:val="0"/>
              <w:autoSpaceDN w:val="0"/>
              <w:adjustRightInd w:val="0"/>
              <w:jc w:val="center"/>
              <w:rPr>
                <w:rFonts w:hAnsi="宋体"/>
                <w:sz w:val="24"/>
              </w:rPr>
            </w:pPr>
          </w:p>
        </w:tc>
        <w:tc>
          <w:tcPr>
            <w:tcW w:w="986" w:type="dxa"/>
            <w:vAlign w:val="center"/>
          </w:tcPr>
          <w:p>
            <w:pPr>
              <w:autoSpaceDE w:val="0"/>
              <w:autoSpaceDN w:val="0"/>
              <w:adjustRightInd w:val="0"/>
              <w:jc w:val="center"/>
              <w:rPr>
                <w:rFonts w:hAnsi="宋体"/>
                <w:sz w:val="24"/>
              </w:rPr>
            </w:pPr>
          </w:p>
        </w:tc>
      </w:tr>
    </w:tbl>
    <w:p>
      <w:pPr>
        <w:pStyle w:val="45"/>
        <w:tabs>
          <w:tab w:val="left" w:pos="360"/>
        </w:tabs>
        <w:spacing w:line="360" w:lineRule="auto"/>
        <w:ind w:right="84" w:rightChars="40"/>
        <w:rPr>
          <w:rFonts w:ascii="宋体"/>
          <w:b/>
          <w:bCs/>
        </w:rPr>
      </w:pPr>
      <w:r>
        <w:rPr>
          <w:rFonts w:hint="eastAsia" w:ascii="宋体" w:cs="宋体"/>
          <w:b/>
          <w:bCs/>
        </w:rPr>
        <w:t>要求：</w:t>
      </w:r>
    </w:p>
    <w:p>
      <w:pPr>
        <w:pStyle w:val="45"/>
        <w:tabs>
          <w:tab w:val="left" w:pos="360"/>
        </w:tabs>
        <w:spacing w:line="360" w:lineRule="auto"/>
        <w:ind w:right="84" w:rightChars="40" w:firstLine="420" w:firstLineChars="200"/>
        <w:rPr>
          <w:rFonts w:ascii="宋体"/>
        </w:rPr>
      </w:pPr>
      <w:r>
        <w:rPr>
          <w:rFonts w:ascii="宋体" w:cs="宋体"/>
        </w:rPr>
        <w:t>1.</w:t>
      </w:r>
      <w:r>
        <w:rPr>
          <w:rFonts w:hint="eastAsia" w:ascii="宋体" w:cs="宋体"/>
        </w:rPr>
        <w:t>本表参照本招标文件第四章“采购需求”填制，投标人应根据投标服务指标，对照招标文件要求在“偏离情况”栏注明“正偏离”、“负偏离”或“无偏离”。</w:t>
      </w:r>
    </w:p>
    <w:p>
      <w:pPr>
        <w:pStyle w:val="45"/>
        <w:spacing w:line="360" w:lineRule="auto"/>
        <w:ind w:right="84" w:rightChars="40" w:firstLine="420" w:firstLineChars="200"/>
        <w:rPr>
          <w:rFonts w:ascii="宋体" w:cs="宋体"/>
          <w:color w:val="000000" w:themeColor="text1"/>
        </w:rPr>
      </w:pPr>
      <w:r>
        <w:rPr>
          <w:rFonts w:hint="eastAsia" w:ascii="宋体" w:cs="宋体"/>
          <w:color w:val="000000" w:themeColor="text1"/>
        </w:rPr>
        <w:t>2.本项目的付款方式不允许负偏离。</w:t>
      </w:r>
    </w:p>
    <w:p>
      <w:pPr>
        <w:spacing w:line="360" w:lineRule="auto"/>
        <w:ind w:left="420"/>
        <w:rPr>
          <w:rFonts w:hint="eastAsia" w:ascii="宋体" w:hAnsi="宋体" w:cs="宋体"/>
          <w:sz w:val="24"/>
          <w:szCs w:val="24"/>
        </w:rPr>
      </w:pPr>
    </w:p>
    <w:p>
      <w:pPr>
        <w:spacing w:line="360" w:lineRule="auto"/>
        <w:ind w:left="420"/>
        <w:rPr>
          <w:rFonts w:hint="eastAsia" w:ascii="宋体" w:hAnsi="宋体" w:cs="宋体"/>
          <w:sz w:val="24"/>
          <w:szCs w:val="24"/>
        </w:rPr>
      </w:pPr>
    </w:p>
    <w:p>
      <w:pPr>
        <w:spacing w:line="360" w:lineRule="auto"/>
        <w:ind w:left="420"/>
        <w:rPr>
          <w:rFonts w:ascii="宋体"/>
          <w:sz w:val="24"/>
          <w:szCs w:val="24"/>
          <w:u w:val="single"/>
        </w:rPr>
      </w:pPr>
      <w:r>
        <w:rPr>
          <w:rFonts w:hint="eastAsia" w:ascii="宋体" w:hAnsi="宋体" w:cs="宋体"/>
          <w:sz w:val="24"/>
          <w:szCs w:val="24"/>
        </w:rPr>
        <w:t>投标人名称（盖章）：</w:t>
      </w:r>
    </w:p>
    <w:p>
      <w:pPr>
        <w:spacing w:line="360" w:lineRule="auto"/>
        <w:ind w:firstLine="424" w:firstLineChars="177"/>
        <w:rPr>
          <w:rFonts w:ascii="宋体"/>
          <w:sz w:val="24"/>
          <w:szCs w:val="24"/>
        </w:rPr>
      </w:pPr>
      <w:r>
        <w:rPr>
          <w:rFonts w:hint="eastAsia" w:ascii="宋体" w:hAnsi="宋体" w:cs="宋体"/>
          <w:sz w:val="24"/>
          <w:szCs w:val="24"/>
        </w:rPr>
        <w:t>法定代表人或代理人（签字或盖章）：</w:t>
      </w:r>
    </w:p>
    <w:p>
      <w:pPr>
        <w:spacing w:line="360" w:lineRule="auto"/>
        <w:ind w:firstLine="435"/>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spacing w:line="360" w:lineRule="auto"/>
        <w:rPr>
          <w:rFonts w:ascii="宋体"/>
          <w:b/>
          <w:bCs/>
          <w:sz w:val="28"/>
          <w:szCs w:val="28"/>
        </w:rPr>
      </w:pPr>
      <w:r>
        <w:rPr>
          <w:rFonts w:ascii="宋体"/>
          <w:b/>
          <w:bCs/>
          <w:sz w:val="28"/>
          <w:szCs w:val="28"/>
        </w:rPr>
        <w:br w:type="page"/>
      </w:r>
    </w:p>
    <w:p>
      <w:pPr>
        <w:widowControl/>
        <w:jc w:val="left"/>
        <w:rPr>
          <w:rFonts w:ascii="宋体"/>
          <w:spacing w:val="40"/>
          <w:sz w:val="52"/>
          <w:szCs w:val="52"/>
        </w:rPr>
      </w:pPr>
    </w:p>
    <w:p>
      <w:pPr>
        <w:spacing w:line="360" w:lineRule="auto"/>
        <w:ind w:right="-110"/>
        <w:jc w:val="center"/>
        <w:outlineLvl w:val="0"/>
        <w:rPr>
          <w:rFonts w:hint="eastAsia" w:ascii="宋体" w:eastAsia="宋体"/>
          <w:spacing w:val="40"/>
          <w:sz w:val="52"/>
          <w:szCs w:val="52"/>
          <w:lang w:eastAsia="zh-CN"/>
        </w:rPr>
      </w:pPr>
      <w:r>
        <w:rPr>
          <w:rFonts w:hint="eastAsia" w:ascii="宋体" w:hAnsi="宋体" w:cs="宋体"/>
          <w:spacing w:val="40"/>
          <w:sz w:val="44"/>
          <w:szCs w:val="44"/>
          <w:lang w:eastAsia="zh-CN"/>
        </w:rPr>
        <w:t>温岭市新河镇2024年度病媒生物防制专业化服务项目采购</w:t>
      </w:r>
    </w:p>
    <w:p>
      <w:pPr>
        <w:spacing w:beforeLines="100" w:line="360" w:lineRule="auto"/>
        <w:ind w:right="-108"/>
        <w:jc w:val="center"/>
        <w:rPr>
          <w:rFonts w:ascii="宋体" w:hAnsi="宋体" w:cs="宋体"/>
          <w:sz w:val="28"/>
          <w:szCs w:val="28"/>
        </w:rPr>
      </w:pPr>
    </w:p>
    <w:p>
      <w:pPr>
        <w:spacing w:beforeLines="100" w:line="360" w:lineRule="auto"/>
        <w:ind w:right="-108"/>
        <w:jc w:val="center"/>
        <w:rPr>
          <w:rFonts w:hint="eastAsia" w:ascii="宋体" w:hAnsi="宋体" w:eastAsia="宋体" w:cs="宋体"/>
          <w:sz w:val="36"/>
          <w:szCs w:val="36"/>
          <w:lang w:eastAsia="zh-CN"/>
        </w:rPr>
      </w:pPr>
      <w:r>
        <w:rPr>
          <w:rFonts w:hint="eastAsia" w:ascii="宋体" w:hAnsi="宋体" w:cs="宋体"/>
          <w:sz w:val="36"/>
          <w:szCs w:val="36"/>
        </w:rPr>
        <w:t>项目编号：</w:t>
      </w:r>
      <w:r>
        <w:rPr>
          <w:rFonts w:hint="eastAsia" w:ascii="宋体" w:hAnsi="宋体" w:cs="宋体"/>
          <w:sz w:val="36"/>
          <w:szCs w:val="36"/>
          <w:lang w:eastAsia="zh-CN"/>
        </w:rPr>
        <w:t>JJWL24031981</w:t>
      </w:r>
    </w:p>
    <w:p>
      <w:pPr>
        <w:spacing w:after="100" w:afterAutospacing="1" w:line="360" w:lineRule="auto"/>
        <w:ind w:right="-108"/>
        <w:jc w:val="center"/>
        <w:outlineLvl w:val="0"/>
        <w:rPr>
          <w:rFonts w:ascii="宋体" w:hAnsi="宋体" w:cs="宋体"/>
          <w:b/>
          <w:bCs/>
          <w:spacing w:val="40"/>
          <w:sz w:val="84"/>
          <w:szCs w:val="84"/>
        </w:rPr>
      </w:pPr>
      <w:bookmarkStart w:id="23" w:name="_Toc805"/>
    </w:p>
    <w:p>
      <w:pPr>
        <w:spacing w:after="100" w:afterAutospacing="1" w:line="360" w:lineRule="auto"/>
        <w:ind w:right="-108"/>
        <w:jc w:val="center"/>
        <w:outlineLvl w:val="0"/>
        <w:rPr>
          <w:rFonts w:ascii="宋体"/>
          <w:b/>
          <w:bCs/>
          <w:spacing w:val="40"/>
          <w:sz w:val="84"/>
          <w:szCs w:val="84"/>
        </w:rPr>
      </w:pPr>
      <w:r>
        <w:rPr>
          <w:rFonts w:hint="eastAsia" w:ascii="宋体" w:hAnsi="宋体" w:cs="宋体"/>
          <w:b/>
          <w:bCs/>
          <w:spacing w:val="40"/>
          <w:sz w:val="84"/>
          <w:szCs w:val="84"/>
        </w:rPr>
        <w:t>报</w:t>
      </w:r>
      <w:bookmarkEnd w:id="23"/>
    </w:p>
    <w:p>
      <w:pPr>
        <w:spacing w:after="100" w:afterAutospacing="1" w:line="360" w:lineRule="auto"/>
        <w:ind w:right="-108"/>
        <w:jc w:val="center"/>
        <w:outlineLvl w:val="0"/>
        <w:rPr>
          <w:rFonts w:ascii="宋体"/>
          <w:b/>
          <w:bCs/>
          <w:spacing w:val="40"/>
          <w:sz w:val="84"/>
          <w:szCs w:val="84"/>
        </w:rPr>
      </w:pPr>
      <w:bookmarkStart w:id="24" w:name="_Toc22379"/>
      <w:r>
        <w:rPr>
          <w:rFonts w:hint="eastAsia" w:ascii="宋体" w:hAnsi="宋体" w:cs="宋体"/>
          <w:b/>
          <w:bCs/>
          <w:spacing w:val="40"/>
          <w:sz w:val="84"/>
          <w:szCs w:val="84"/>
        </w:rPr>
        <w:t>价</w:t>
      </w:r>
      <w:bookmarkEnd w:id="24"/>
    </w:p>
    <w:p>
      <w:pPr>
        <w:spacing w:after="100" w:afterAutospacing="1" w:line="360" w:lineRule="auto"/>
        <w:ind w:right="-108"/>
        <w:jc w:val="center"/>
        <w:outlineLvl w:val="0"/>
        <w:rPr>
          <w:rFonts w:ascii="宋体"/>
          <w:b/>
          <w:bCs/>
          <w:spacing w:val="40"/>
          <w:sz w:val="84"/>
          <w:szCs w:val="84"/>
        </w:rPr>
      </w:pPr>
      <w:bookmarkStart w:id="25" w:name="_Toc23380"/>
      <w:r>
        <w:rPr>
          <w:rFonts w:hint="eastAsia" w:ascii="宋体" w:hAnsi="宋体" w:cs="宋体"/>
          <w:b/>
          <w:bCs/>
          <w:spacing w:val="40"/>
          <w:sz w:val="84"/>
          <w:szCs w:val="84"/>
        </w:rPr>
        <w:t>文</w:t>
      </w:r>
      <w:bookmarkEnd w:id="25"/>
    </w:p>
    <w:p>
      <w:pPr>
        <w:spacing w:after="100" w:afterAutospacing="1" w:line="360" w:lineRule="auto"/>
        <w:ind w:right="-108"/>
        <w:jc w:val="center"/>
        <w:outlineLvl w:val="0"/>
        <w:rPr>
          <w:rFonts w:ascii="宋体"/>
          <w:sz w:val="36"/>
          <w:szCs w:val="36"/>
        </w:rPr>
      </w:pPr>
      <w:bookmarkStart w:id="26" w:name="_Toc8989"/>
      <w:r>
        <w:rPr>
          <w:rFonts w:hint="eastAsia" w:ascii="宋体" w:hAnsi="宋体" w:cs="宋体"/>
          <w:b/>
          <w:bCs/>
          <w:spacing w:val="40"/>
          <w:sz w:val="84"/>
          <w:szCs w:val="84"/>
        </w:rPr>
        <w:t>件</w:t>
      </w:r>
      <w:bookmarkEnd w:id="26"/>
    </w:p>
    <w:p>
      <w:pPr>
        <w:spacing w:line="360" w:lineRule="auto"/>
        <w:ind w:right="532"/>
        <w:jc w:val="center"/>
        <w:rPr>
          <w:rFonts w:ascii="宋体"/>
          <w:sz w:val="36"/>
          <w:szCs w:val="36"/>
        </w:rPr>
      </w:pPr>
    </w:p>
    <w:p>
      <w:pPr>
        <w:spacing w:line="360" w:lineRule="auto"/>
        <w:ind w:right="532" w:firstLine="720" w:firstLineChars="200"/>
        <w:outlineLvl w:val="0"/>
        <w:rPr>
          <w:rFonts w:ascii="宋体"/>
          <w:sz w:val="36"/>
          <w:szCs w:val="36"/>
        </w:rPr>
      </w:pPr>
      <w:bookmarkStart w:id="27" w:name="_Toc4137"/>
      <w:r>
        <w:rPr>
          <w:rFonts w:hint="eastAsia" w:ascii="宋体" w:hAnsi="宋体" w:cs="宋体"/>
          <w:sz w:val="36"/>
          <w:szCs w:val="36"/>
        </w:rPr>
        <w:t>供应商全称（公章）：</w:t>
      </w:r>
      <w:bookmarkEnd w:id="27"/>
    </w:p>
    <w:p>
      <w:pPr>
        <w:spacing w:line="360" w:lineRule="auto"/>
        <w:ind w:right="-108" w:firstLine="720" w:firstLineChars="200"/>
        <w:outlineLvl w:val="0"/>
        <w:rPr>
          <w:rFonts w:ascii="宋体"/>
          <w:sz w:val="36"/>
          <w:szCs w:val="36"/>
        </w:rPr>
      </w:pPr>
      <w:bookmarkStart w:id="28" w:name="_Toc32511"/>
      <w:r>
        <w:rPr>
          <w:rFonts w:hint="eastAsia" w:ascii="宋体" w:hAnsi="宋体" w:cs="宋体"/>
          <w:sz w:val="36"/>
          <w:szCs w:val="36"/>
        </w:rPr>
        <w:t>地</w:t>
      </w:r>
      <w:r>
        <w:rPr>
          <w:rFonts w:ascii="宋体" w:hAnsi="宋体" w:cs="宋体"/>
          <w:sz w:val="36"/>
          <w:szCs w:val="36"/>
        </w:rPr>
        <w:t xml:space="preserve">    </w:t>
      </w:r>
      <w:r>
        <w:rPr>
          <w:rFonts w:hint="eastAsia" w:ascii="宋体" w:hAnsi="宋体" w:cs="宋体"/>
          <w:sz w:val="36"/>
          <w:szCs w:val="36"/>
        </w:rPr>
        <w:t>址：</w:t>
      </w:r>
      <w:bookmarkEnd w:id="28"/>
    </w:p>
    <w:p>
      <w:pPr>
        <w:spacing w:line="360" w:lineRule="auto"/>
        <w:ind w:right="-108" w:firstLine="720" w:firstLineChars="200"/>
        <w:outlineLvl w:val="0"/>
        <w:rPr>
          <w:rFonts w:ascii="宋体"/>
          <w:sz w:val="36"/>
          <w:szCs w:val="36"/>
        </w:rPr>
      </w:pPr>
      <w:bookmarkStart w:id="29" w:name="_Toc18172"/>
      <w:r>
        <w:rPr>
          <w:rFonts w:hint="eastAsia" w:ascii="宋体" w:hAnsi="宋体" w:cs="宋体"/>
          <w:sz w:val="36"/>
          <w:szCs w:val="36"/>
        </w:rPr>
        <w:t>时</w:t>
      </w:r>
      <w:r>
        <w:rPr>
          <w:rFonts w:ascii="宋体" w:hAnsi="宋体" w:cs="宋体"/>
          <w:sz w:val="36"/>
          <w:szCs w:val="36"/>
        </w:rPr>
        <w:t xml:space="preserve">    </w:t>
      </w:r>
      <w:r>
        <w:rPr>
          <w:rFonts w:hint="eastAsia" w:ascii="宋体" w:hAnsi="宋体" w:cs="宋体"/>
          <w:sz w:val="36"/>
          <w:szCs w:val="36"/>
        </w:rPr>
        <w:t>间：</w:t>
      </w:r>
      <w:bookmarkEnd w:id="29"/>
    </w:p>
    <w:p>
      <w:pPr>
        <w:spacing w:line="360" w:lineRule="auto"/>
        <w:ind w:right="-108"/>
        <w:jc w:val="center"/>
        <w:rPr>
          <w:rFonts w:ascii="宋体"/>
          <w:b/>
          <w:bCs/>
          <w:sz w:val="32"/>
          <w:szCs w:val="32"/>
          <w:lang w:val="zh-CN"/>
        </w:rPr>
      </w:pPr>
      <w:r>
        <w:rPr>
          <w:rFonts w:hint="eastAsia" w:ascii="宋体" w:hAnsi="宋体" w:cs="宋体"/>
          <w:b/>
          <w:bCs/>
          <w:sz w:val="32"/>
          <w:szCs w:val="32"/>
          <w:lang w:val="zh-CN"/>
        </w:rPr>
        <w:t>报价文件目录</w:t>
      </w:r>
    </w:p>
    <w:p>
      <w:pPr>
        <w:spacing w:line="360" w:lineRule="auto"/>
        <w:rPr>
          <w:rFonts w:ascii="宋体" w:cs="宋体"/>
          <w:sz w:val="28"/>
          <w:szCs w:val="28"/>
        </w:rPr>
      </w:pPr>
    </w:p>
    <w:p>
      <w:pPr>
        <w:numPr>
          <w:ilvl w:val="0"/>
          <w:numId w:val="10"/>
        </w:numPr>
        <w:snapToGrid w:val="0"/>
        <w:spacing w:line="360" w:lineRule="auto"/>
        <w:jc w:val="distribute"/>
        <w:rPr>
          <w:rFonts w:ascii="宋体" w:hAnsi="宋体" w:cs="宋体"/>
          <w:sz w:val="28"/>
          <w:szCs w:val="28"/>
        </w:rPr>
      </w:pPr>
      <w:r>
        <w:rPr>
          <w:rFonts w:hint="eastAsia" w:ascii="宋体" w:hAnsi="宋体" w:cs="宋体"/>
          <w:sz w:val="28"/>
          <w:szCs w:val="28"/>
        </w:rPr>
        <w:t>投标函…………………………………………………………页码；</w:t>
      </w:r>
    </w:p>
    <w:p>
      <w:pPr>
        <w:numPr>
          <w:ilvl w:val="0"/>
          <w:numId w:val="10"/>
        </w:numPr>
        <w:snapToGrid w:val="0"/>
        <w:spacing w:line="360" w:lineRule="auto"/>
        <w:jc w:val="distribute"/>
        <w:rPr>
          <w:rFonts w:ascii="宋体" w:hAnsi="宋体" w:cs="宋体"/>
          <w:sz w:val="28"/>
          <w:szCs w:val="28"/>
        </w:rPr>
      </w:pPr>
      <w:r>
        <w:rPr>
          <w:rFonts w:hint="eastAsia" w:ascii="宋体" w:hAnsi="宋体" w:cs="宋体"/>
          <w:sz w:val="28"/>
          <w:szCs w:val="28"/>
        </w:rPr>
        <w:t>开标一览表……………………………………………………页码；</w:t>
      </w:r>
    </w:p>
    <w:p>
      <w:pPr>
        <w:numPr>
          <w:ilvl w:val="0"/>
          <w:numId w:val="10"/>
        </w:numPr>
        <w:snapToGrid w:val="0"/>
        <w:spacing w:line="360" w:lineRule="auto"/>
        <w:jc w:val="distribute"/>
        <w:rPr>
          <w:rFonts w:ascii="宋体" w:hAnsi="宋体" w:cs="宋体"/>
          <w:sz w:val="28"/>
          <w:szCs w:val="28"/>
        </w:rPr>
      </w:pPr>
      <w:r>
        <w:rPr>
          <w:rFonts w:hint="eastAsia" w:ascii="宋体" w:hAnsi="宋体" w:cs="宋体"/>
          <w:sz w:val="28"/>
          <w:szCs w:val="28"/>
        </w:rPr>
        <w:t>投标报价明细表………………………………………………页码；</w:t>
      </w:r>
    </w:p>
    <w:p>
      <w:pPr>
        <w:numPr>
          <w:ilvl w:val="0"/>
          <w:numId w:val="10"/>
        </w:numPr>
        <w:snapToGrid w:val="0"/>
        <w:spacing w:line="360" w:lineRule="auto"/>
        <w:jc w:val="distribute"/>
        <w:rPr>
          <w:rFonts w:ascii="宋体" w:hAnsi="宋体" w:cs="宋体"/>
          <w:sz w:val="28"/>
          <w:szCs w:val="28"/>
        </w:rPr>
      </w:pPr>
      <w:r>
        <w:rPr>
          <w:rFonts w:hint="eastAsia" w:ascii="宋体" w:hAnsi="宋体" w:cs="宋体"/>
          <w:sz w:val="28"/>
          <w:szCs w:val="28"/>
        </w:rPr>
        <w:t>针对报价投标人认为其他需要说明的………………………页码；</w:t>
      </w: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rPr>
          <w:rFonts w:ascii="宋体"/>
          <w:b/>
          <w:bCs/>
          <w:sz w:val="28"/>
          <w:szCs w:val="28"/>
        </w:rPr>
      </w:pPr>
      <w:r>
        <w:rPr>
          <w:rFonts w:ascii="宋体" w:hAnsi="宋体" w:cs="宋体"/>
          <w:b/>
          <w:bCs/>
          <w:sz w:val="28"/>
          <w:szCs w:val="28"/>
        </w:rPr>
        <w:br w:type="page"/>
      </w:r>
      <w:r>
        <w:rPr>
          <w:rFonts w:hint="eastAsia" w:ascii="宋体" w:hAnsi="宋体" w:cs="宋体"/>
          <w:b/>
          <w:bCs/>
          <w:sz w:val="24"/>
          <w:szCs w:val="24"/>
        </w:rPr>
        <w:t>附件1:</w:t>
      </w:r>
    </w:p>
    <w:p>
      <w:pPr>
        <w:widowControl/>
        <w:snapToGrid w:val="0"/>
        <w:spacing w:line="560" w:lineRule="exact"/>
        <w:jc w:val="center"/>
        <w:rPr>
          <w:rFonts w:ascii="宋体" w:hAnsi="宋体" w:cs="宋体"/>
          <w:b/>
          <w:color w:val="000000"/>
          <w:sz w:val="44"/>
          <w:szCs w:val="44"/>
        </w:rPr>
      </w:pPr>
      <w:r>
        <w:rPr>
          <w:rFonts w:hint="eastAsia" w:ascii="宋体" w:hAnsi="宋体" w:cs="宋体"/>
          <w:b/>
          <w:color w:val="000000"/>
          <w:kern w:val="0"/>
          <w:sz w:val="44"/>
          <w:szCs w:val="44"/>
        </w:rPr>
        <w:t>投   标   函</w:t>
      </w:r>
    </w:p>
    <w:p>
      <w:pPr>
        <w:spacing w:line="440" w:lineRule="exact"/>
        <w:rPr>
          <w:rFonts w:ascii="宋体" w:hAnsi="宋体" w:cs="宋体"/>
          <w:color w:val="000000"/>
          <w:sz w:val="24"/>
        </w:rPr>
      </w:pPr>
    </w:p>
    <w:p>
      <w:pPr>
        <w:spacing w:line="440" w:lineRule="exact"/>
        <w:rPr>
          <w:rFonts w:ascii="宋体" w:hAnsi="宋体" w:cs="宋体"/>
          <w:color w:val="000000"/>
          <w:sz w:val="24"/>
        </w:rPr>
      </w:pPr>
      <w:r>
        <w:rPr>
          <w:rFonts w:hint="eastAsia" w:ascii="宋体" w:hAnsi="宋体" w:cs="宋体"/>
          <w:color w:val="000000"/>
          <w:kern w:val="0"/>
          <w:sz w:val="24"/>
        </w:rPr>
        <w:t xml:space="preserve">致：温岭市新河镇人民政府     </w:t>
      </w:r>
    </w:p>
    <w:p>
      <w:pPr>
        <w:spacing w:line="440" w:lineRule="exact"/>
        <w:rPr>
          <w:rFonts w:ascii="宋体" w:hAnsi="宋体" w:cs="宋体"/>
          <w:color w:val="000000"/>
          <w:sz w:val="24"/>
        </w:rPr>
      </w:pP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（投标人名称）授权</w:t>
      </w:r>
      <w:r>
        <w:rPr>
          <w:rFonts w:hint="eastAsia" w:ascii="宋体" w:hAnsi="宋体" w:cs="宋体"/>
          <w:color w:val="000000"/>
          <w:kern w:val="0"/>
          <w:sz w:val="24"/>
          <w:u w:val="single"/>
        </w:rPr>
        <w:t xml:space="preserve">               </w:t>
      </w:r>
      <w:r>
        <w:rPr>
          <w:rFonts w:hint="eastAsia" w:ascii="宋体" w:hAnsi="宋体" w:cs="宋体"/>
          <w:color w:val="000000"/>
          <w:kern w:val="0"/>
          <w:sz w:val="24"/>
        </w:rPr>
        <w:t>（全权代表姓名、职务）为全权代表，参加贵单位组织的</w:t>
      </w:r>
      <w:r>
        <w:rPr>
          <w:rFonts w:hint="eastAsia" w:ascii="宋体" w:hAnsi="宋体" w:cs="宋体"/>
          <w:color w:val="000000"/>
          <w:kern w:val="0"/>
          <w:sz w:val="24"/>
          <w:u w:val="single"/>
        </w:rPr>
        <w:t xml:space="preserve">          </w:t>
      </w:r>
      <w:r>
        <w:rPr>
          <w:rFonts w:hint="eastAsia" w:ascii="宋体" w:hAnsi="宋体" w:cs="宋体"/>
          <w:color w:val="000000"/>
          <w:kern w:val="0"/>
          <w:sz w:val="24"/>
        </w:rPr>
        <w:t>（招标项目名称）（编号为        ）招标的有关活动，并进行投标。为此：</w:t>
      </w:r>
    </w:p>
    <w:p>
      <w:pPr>
        <w:spacing w:line="440" w:lineRule="exact"/>
        <w:ind w:firstLine="480" w:firstLineChars="200"/>
        <w:outlineLvl w:val="0"/>
        <w:rPr>
          <w:rFonts w:ascii="宋体" w:hAnsi="宋体" w:cs="宋体"/>
          <w:color w:val="000000"/>
          <w:sz w:val="24"/>
        </w:rPr>
      </w:pPr>
      <w:bookmarkStart w:id="30" w:name="_Toc20024"/>
      <w:r>
        <w:rPr>
          <w:rFonts w:hint="eastAsia" w:ascii="宋体" w:hAnsi="宋体" w:cs="宋体"/>
          <w:color w:val="000000"/>
          <w:kern w:val="0"/>
          <w:sz w:val="24"/>
        </w:rPr>
        <w:t>l</w:t>
      </w:r>
      <w:r>
        <w:rPr>
          <w:rFonts w:hint="eastAsia" w:ascii="宋体" w:hAnsi="宋体" w:cs="宋体"/>
          <w:color w:val="000000"/>
          <w:kern w:val="0"/>
          <w:sz w:val="24"/>
          <w:lang w:eastAsia="zh-CN"/>
        </w:rPr>
        <w:t>.</w:t>
      </w:r>
      <w:r>
        <w:rPr>
          <w:rFonts w:hint="eastAsia" w:ascii="宋体" w:hAnsi="宋体" w:cs="宋体"/>
          <w:color w:val="000000"/>
          <w:kern w:val="0"/>
          <w:sz w:val="24"/>
        </w:rPr>
        <w:t>提供投标人须知规定的全部投标文件。</w:t>
      </w:r>
      <w:bookmarkEnd w:id="30"/>
    </w:p>
    <w:p>
      <w:pPr>
        <w:spacing w:line="440" w:lineRule="exact"/>
        <w:rPr>
          <w:rFonts w:ascii="宋体" w:hAnsi="宋体" w:cs="宋体"/>
          <w:color w:val="000000"/>
          <w:sz w:val="24"/>
        </w:rPr>
      </w:pPr>
      <w:r>
        <w:rPr>
          <w:rFonts w:hint="eastAsia" w:ascii="宋体" w:hAnsi="宋体" w:cs="宋体"/>
          <w:color w:val="000000"/>
          <w:kern w:val="0"/>
          <w:sz w:val="24"/>
        </w:rPr>
        <w:t xml:space="preserve">    2、我方的投标报价详见《开标一览表》。</w:t>
      </w:r>
    </w:p>
    <w:p>
      <w:pPr>
        <w:spacing w:line="440" w:lineRule="exact"/>
        <w:ind w:firstLine="360" w:firstLineChars="150"/>
        <w:rPr>
          <w:rFonts w:ascii="宋体" w:hAnsi="宋体" w:cs="宋体"/>
          <w:color w:val="000000"/>
          <w:sz w:val="24"/>
        </w:rPr>
      </w:pPr>
      <w:r>
        <w:rPr>
          <w:rFonts w:hint="eastAsia" w:ascii="宋体" w:hAnsi="宋体" w:cs="宋体"/>
          <w:color w:val="000000"/>
          <w:kern w:val="0"/>
          <w:sz w:val="24"/>
        </w:rPr>
        <w:t xml:space="preserve"> 3、我方已详细审查全部招标文件，完全同意招标文件中的各项要求，保证遵守招标文件中的有关规定和相关标准</w:t>
      </w:r>
      <w:r>
        <w:rPr>
          <w:rFonts w:hint="eastAsia" w:ascii="宋体" w:hAnsi="宋体" w:cs="宋体"/>
          <w:color w:val="000000"/>
          <w:kern w:val="0"/>
          <w:sz w:val="24"/>
          <w:szCs w:val="20"/>
        </w:rPr>
        <w:t>，对招标文件的合理性、合法性不再有异议。</w:t>
      </w:r>
    </w:p>
    <w:p>
      <w:pPr>
        <w:spacing w:line="440" w:lineRule="exact"/>
        <w:rPr>
          <w:rFonts w:ascii="宋体" w:hAnsi="宋体" w:cs="宋体"/>
          <w:color w:val="000000"/>
          <w:sz w:val="24"/>
        </w:rPr>
      </w:pPr>
      <w:r>
        <w:rPr>
          <w:rFonts w:hint="eastAsia" w:ascii="宋体" w:hAnsi="宋体" w:cs="宋体"/>
          <w:color w:val="000000"/>
          <w:kern w:val="0"/>
          <w:sz w:val="24"/>
        </w:rPr>
        <w:t xml:space="preserve">    4、若中标，</w:t>
      </w:r>
      <w:r>
        <w:rPr>
          <w:rFonts w:hint="eastAsia" w:ascii="宋体" w:hAnsi="宋体" w:cs="宋体"/>
          <w:color w:val="000000"/>
          <w:kern w:val="0"/>
          <w:sz w:val="24"/>
          <w:szCs w:val="20"/>
        </w:rPr>
        <w:t>本投标文件至本项目合同履行完毕止均保持有效，</w:t>
      </w:r>
      <w:r>
        <w:rPr>
          <w:rFonts w:hint="eastAsia" w:ascii="宋体" w:hAnsi="宋体" w:cs="宋体"/>
          <w:color w:val="000000"/>
          <w:kern w:val="0"/>
          <w:sz w:val="24"/>
        </w:rPr>
        <w:t>我方将按招标文件规定履行合同责任和义务。</w:t>
      </w:r>
    </w:p>
    <w:p>
      <w:pPr>
        <w:spacing w:line="440" w:lineRule="exact"/>
        <w:rPr>
          <w:rFonts w:ascii="宋体" w:hAnsi="宋体" w:cs="宋体"/>
          <w:color w:val="000000"/>
          <w:sz w:val="24"/>
        </w:rPr>
      </w:pPr>
      <w:r>
        <w:rPr>
          <w:rFonts w:hint="eastAsia" w:ascii="宋体" w:hAnsi="宋体" w:cs="宋体"/>
          <w:color w:val="000000"/>
          <w:kern w:val="0"/>
          <w:sz w:val="24"/>
        </w:rPr>
        <w:t xml:space="preserve">    5、投标文件自开标之日起有效期为90天。</w:t>
      </w:r>
    </w:p>
    <w:p>
      <w:pPr>
        <w:spacing w:line="440" w:lineRule="exact"/>
        <w:rPr>
          <w:rFonts w:ascii="宋体" w:hAnsi="宋体" w:cs="宋体"/>
          <w:color w:val="000000"/>
          <w:sz w:val="24"/>
        </w:rPr>
      </w:pPr>
      <w:r>
        <w:rPr>
          <w:rFonts w:hint="eastAsia" w:ascii="宋体" w:hAnsi="宋体" w:cs="宋体"/>
          <w:color w:val="000000"/>
          <w:kern w:val="0"/>
          <w:sz w:val="24"/>
        </w:rPr>
        <w:t xml:space="preserve">    6、我方同意提供按照贵方可能要求的与本项投标有关的一切数据或资料，并保证其真实性、合法性。</w:t>
      </w:r>
    </w:p>
    <w:p>
      <w:pPr>
        <w:spacing w:line="440" w:lineRule="exact"/>
        <w:rPr>
          <w:rFonts w:ascii="宋体" w:hAnsi="宋体" w:cs="宋体"/>
          <w:color w:val="000000"/>
          <w:sz w:val="24"/>
        </w:rPr>
      </w:pPr>
      <w:r>
        <w:rPr>
          <w:rFonts w:hint="eastAsia" w:ascii="宋体" w:hAnsi="宋体" w:cs="宋体"/>
          <w:color w:val="000000"/>
          <w:kern w:val="0"/>
          <w:sz w:val="24"/>
        </w:rPr>
        <w:t xml:space="preserve">    7、我方与本次投标有关的一切正式来往通讯请寄：</w:t>
      </w:r>
    </w:p>
    <w:p>
      <w:pPr>
        <w:spacing w:line="440" w:lineRule="exact"/>
        <w:rPr>
          <w:rFonts w:ascii="宋体" w:hAnsi="宋体" w:cs="宋体"/>
          <w:color w:val="000000"/>
          <w:sz w:val="24"/>
        </w:rPr>
      </w:pPr>
      <w:r>
        <w:rPr>
          <w:rFonts w:hint="eastAsia" w:ascii="宋体" w:hAnsi="宋体" w:cs="宋体"/>
          <w:color w:val="000000"/>
          <w:kern w:val="0"/>
          <w:sz w:val="24"/>
        </w:rPr>
        <w:t xml:space="preserve">    </w:t>
      </w:r>
    </w:p>
    <w:p>
      <w:pPr>
        <w:spacing w:line="440" w:lineRule="exact"/>
        <w:rPr>
          <w:rFonts w:ascii="宋体" w:hAnsi="宋体" w:cs="宋体"/>
          <w:color w:val="000000"/>
          <w:sz w:val="24"/>
        </w:rPr>
      </w:pPr>
      <w:r>
        <w:rPr>
          <w:rFonts w:hint="eastAsia" w:ascii="宋体" w:hAnsi="宋体" w:cs="宋体"/>
          <w:color w:val="000000"/>
          <w:kern w:val="0"/>
          <w:sz w:val="24"/>
        </w:rPr>
        <w:t xml:space="preserve">      地址：</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邮编：</w:t>
      </w:r>
      <w:r>
        <w:rPr>
          <w:rFonts w:hint="eastAsia" w:ascii="宋体" w:hAnsi="宋体" w:cs="宋体"/>
          <w:color w:val="000000"/>
          <w:kern w:val="0"/>
          <w:sz w:val="24"/>
          <w:u w:val="single"/>
        </w:rPr>
        <w:t xml:space="preserve">                                                  </w:t>
      </w:r>
    </w:p>
    <w:p>
      <w:pPr>
        <w:spacing w:line="440" w:lineRule="exact"/>
        <w:rPr>
          <w:rFonts w:ascii="宋体" w:hAnsi="宋体" w:cs="宋体"/>
          <w:color w:val="000000"/>
          <w:sz w:val="24"/>
          <w:u w:val="single"/>
        </w:rPr>
      </w:pPr>
      <w:r>
        <w:rPr>
          <w:rFonts w:hint="eastAsia" w:ascii="宋体" w:hAnsi="宋体" w:cs="宋体"/>
          <w:color w:val="000000"/>
          <w:kern w:val="0"/>
          <w:sz w:val="24"/>
        </w:rPr>
        <w:t xml:space="preserve">      电话：</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传真：</w:t>
      </w:r>
      <w:r>
        <w:rPr>
          <w:rFonts w:hint="eastAsia" w:ascii="宋体" w:hAnsi="宋体" w:cs="宋体"/>
          <w:color w:val="000000"/>
          <w:kern w:val="0"/>
          <w:sz w:val="24"/>
          <w:u w:val="single"/>
        </w:rPr>
        <w:t xml:space="preserve">               </w:t>
      </w:r>
    </w:p>
    <w:p>
      <w:pPr>
        <w:spacing w:line="400" w:lineRule="exact"/>
        <w:rPr>
          <w:rFonts w:ascii="宋体" w:hAnsi="宋体" w:cs="宋体"/>
          <w:color w:val="000000"/>
          <w:sz w:val="24"/>
        </w:rPr>
      </w:pPr>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投标人名称：</w:t>
      </w:r>
      <w:r>
        <w:rPr>
          <w:rFonts w:hint="eastAsia" w:ascii="宋体" w:hAnsi="宋体" w:cs="宋体"/>
          <w:color w:val="000000"/>
          <w:kern w:val="0"/>
          <w:sz w:val="24"/>
          <w:u w:val="single"/>
        </w:rPr>
        <w:t xml:space="preserve">                     </w:t>
      </w:r>
      <w:r>
        <w:rPr>
          <w:rFonts w:hint="eastAsia" w:ascii="宋体" w:hAnsi="宋体" w:cs="宋体"/>
          <w:color w:val="000000"/>
          <w:kern w:val="0"/>
          <w:sz w:val="24"/>
        </w:rPr>
        <w:t>（公章）</w:t>
      </w:r>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法定代表人或委托代理人</w:t>
      </w:r>
      <w:r>
        <w:rPr>
          <w:rFonts w:hint="eastAsia" w:ascii="宋体" w:hAnsi="宋体" w:cs="宋体"/>
          <w:color w:val="000000"/>
          <w:kern w:val="0"/>
          <w:sz w:val="24"/>
          <w:szCs w:val="20"/>
        </w:rPr>
        <w:t>（盖章或签名）</w:t>
      </w:r>
      <w:r>
        <w:rPr>
          <w:rFonts w:hint="eastAsia" w:ascii="宋体" w:hAnsi="宋体" w:cs="宋体"/>
          <w:color w:val="000000"/>
          <w:kern w:val="0"/>
          <w:sz w:val="24"/>
        </w:rPr>
        <w:t>：</w:t>
      </w:r>
      <w:r>
        <w:rPr>
          <w:rFonts w:hint="eastAsia" w:ascii="宋体" w:hAnsi="宋体" w:cs="宋体"/>
          <w:color w:val="000000"/>
          <w:kern w:val="0"/>
          <w:sz w:val="24"/>
          <w:u w:val="single"/>
        </w:rPr>
        <w:t xml:space="preserve">  </w:t>
      </w:r>
    </w:p>
    <w:p>
      <w:pPr>
        <w:spacing w:line="400" w:lineRule="exact"/>
        <w:rPr>
          <w:rFonts w:ascii="宋体" w:hAnsi="宋体" w:cs="宋体"/>
          <w:color w:val="000000"/>
          <w:sz w:val="24"/>
        </w:rPr>
      </w:pP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年</w:t>
      </w:r>
      <w:r>
        <w:rPr>
          <w:rFonts w:hint="eastAsia" w:ascii="宋体" w:hAnsi="宋体" w:cs="宋体"/>
          <w:color w:val="000000"/>
          <w:kern w:val="0"/>
          <w:sz w:val="24"/>
          <w:u w:val="single"/>
        </w:rPr>
        <w:t xml:space="preserve">   </w:t>
      </w:r>
      <w:r>
        <w:rPr>
          <w:rFonts w:hint="eastAsia" w:ascii="宋体" w:hAnsi="宋体" w:cs="宋体"/>
          <w:color w:val="000000"/>
          <w:kern w:val="0"/>
          <w:sz w:val="24"/>
        </w:rPr>
        <w:t>月</w:t>
      </w:r>
      <w:r>
        <w:rPr>
          <w:rFonts w:hint="eastAsia" w:ascii="宋体" w:hAnsi="宋体" w:cs="宋体"/>
          <w:color w:val="000000"/>
          <w:kern w:val="0"/>
          <w:sz w:val="24"/>
          <w:u w:val="single"/>
        </w:rPr>
        <w:t xml:space="preserve">   </w:t>
      </w:r>
      <w:r>
        <w:rPr>
          <w:rFonts w:hint="eastAsia" w:ascii="宋体" w:hAnsi="宋体" w:cs="宋体"/>
          <w:color w:val="000000"/>
          <w:kern w:val="0"/>
          <w:sz w:val="24"/>
        </w:rPr>
        <w:t>日</w:t>
      </w:r>
    </w:p>
    <w:p>
      <w:pPr>
        <w:spacing w:line="360" w:lineRule="auto"/>
        <w:ind w:left="-2" w:hanging="2"/>
        <w:rPr>
          <w:rFonts w:ascii="宋体" w:hAnsi="宋体" w:cs="宋体"/>
          <w:b/>
          <w:bCs/>
          <w:sz w:val="24"/>
          <w:szCs w:val="24"/>
        </w:rPr>
      </w:pPr>
      <w:r>
        <w:rPr>
          <w:rFonts w:hint="eastAsia" w:ascii="宋体" w:hAnsi="宋体" w:cs="宋体"/>
          <w:b/>
          <w:color w:val="000000"/>
          <w:sz w:val="28"/>
          <w:szCs w:val="28"/>
        </w:rPr>
        <w:br w:type="page"/>
      </w:r>
      <w:r>
        <w:rPr>
          <w:rFonts w:hint="eastAsia" w:ascii="宋体" w:hAnsi="宋体" w:cs="宋体"/>
          <w:b/>
          <w:bCs/>
          <w:sz w:val="24"/>
          <w:szCs w:val="24"/>
        </w:rPr>
        <w:t>附件2:</w:t>
      </w:r>
    </w:p>
    <w:p>
      <w:pPr>
        <w:spacing w:line="360" w:lineRule="auto"/>
        <w:ind w:left="-2" w:hanging="2"/>
        <w:jc w:val="center"/>
        <w:rPr>
          <w:rFonts w:ascii="宋体"/>
          <w:b/>
          <w:bCs/>
          <w:spacing w:val="21"/>
          <w:kern w:val="0"/>
          <w:sz w:val="32"/>
          <w:szCs w:val="32"/>
        </w:rPr>
      </w:pPr>
      <w:r>
        <w:rPr>
          <w:rFonts w:hint="eastAsia" w:ascii="宋体" w:hAnsi="宋体" w:cs="宋体"/>
          <w:b/>
          <w:bCs/>
          <w:spacing w:val="21"/>
          <w:kern w:val="0"/>
          <w:sz w:val="32"/>
          <w:szCs w:val="32"/>
        </w:rPr>
        <w:t>开标一览表</w:t>
      </w:r>
      <w:r>
        <w:rPr>
          <w:rFonts w:ascii="宋体" w:hAnsi="宋体" w:cs="宋体"/>
          <w:b/>
          <w:bCs/>
          <w:spacing w:val="21"/>
          <w:kern w:val="0"/>
          <w:sz w:val="32"/>
          <w:szCs w:val="32"/>
        </w:rPr>
        <w:t xml:space="preserve"> </w:t>
      </w:r>
    </w:p>
    <w:p>
      <w:pPr>
        <w:pStyle w:val="11"/>
        <w:spacing w:line="320" w:lineRule="exact"/>
        <w:rPr>
          <w:rFonts w:hint="eastAsia" w:hAnsi="宋体" w:eastAsia="宋体" w:cs="Times New Roman"/>
          <w:sz w:val="24"/>
          <w:szCs w:val="24"/>
          <w:lang w:eastAsia="zh-CN"/>
        </w:rPr>
      </w:pPr>
      <w:r>
        <w:rPr>
          <w:rFonts w:hint="eastAsia" w:hAnsi="宋体"/>
          <w:sz w:val="24"/>
          <w:szCs w:val="24"/>
        </w:rPr>
        <w:t>项目编号：</w:t>
      </w:r>
      <w:r>
        <w:rPr>
          <w:rFonts w:hint="eastAsia" w:hAnsi="宋体"/>
          <w:sz w:val="24"/>
          <w:szCs w:val="24"/>
          <w:lang w:eastAsia="zh-CN"/>
        </w:rPr>
        <w:t>JJWL24031981</w:t>
      </w:r>
    </w:p>
    <w:p>
      <w:pPr>
        <w:pStyle w:val="52"/>
        <w:spacing w:line="360" w:lineRule="auto"/>
        <w:ind w:right="480"/>
        <w:jc w:val="left"/>
        <w:rPr>
          <w:rFonts w:ascii="宋体" w:hAnsi="宋体" w:cs="宋体"/>
          <w:sz w:val="24"/>
          <w:szCs w:val="24"/>
        </w:rPr>
      </w:pPr>
      <w:r>
        <w:rPr>
          <w:rFonts w:hint="eastAsia" w:hAnsi="宋体" w:cs="宋体"/>
          <w:sz w:val="24"/>
          <w:szCs w:val="24"/>
        </w:rPr>
        <w:t>项目名称：</w:t>
      </w:r>
      <w:r>
        <w:rPr>
          <w:rFonts w:hint="eastAsia" w:hAnsi="宋体" w:cs="宋体"/>
          <w:sz w:val="24"/>
          <w:szCs w:val="24"/>
          <w:lang w:eastAsia="zh-CN"/>
        </w:rPr>
        <w:t>温岭市新河镇2024年度病媒生物防制专业化服务项目采购</w:t>
      </w:r>
      <w:r>
        <w:rPr>
          <w:rFonts w:ascii="宋体" w:hAnsi="宋体" w:cs="宋体"/>
          <w:sz w:val="24"/>
          <w:szCs w:val="24"/>
        </w:rPr>
        <w:t xml:space="preserve">  </w:t>
      </w:r>
    </w:p>
    <w:tbl>
      <w:tblPr>
        <w:tblStyle w:val="20"/>
        <w:tblW w:w="9453" w:type="dxa"/>
        <w:tblInd w:w="-49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6"/>
        <w:gridCol w:w="4105"/>
        <w:gridCol w:w="1554"/>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2546" w:type="dxa"/>
            <w:vAlign w:val="center"/>
          </w:tcPr>
          <w:p>
            <w:pPr>
              <w:jc w:val="center"/>
              <w:rPr>
                <w:rFonts w:hint="eastAsia" w:ascii="新宋体" w:hAnsi="新宋体" w:eastAsia="新宋体"/>
                <w:sz w:val="22"/>
                <w:szCs w:val="15"/>
                <w:lang w:eastAsia="zh-CN"/>
              </w:rPr>
            </w:pPr>
            <w:r>
              <w:rPr>
                <w:rFonts w:hint="eastAsia" w:ascii="新宋体" w:hAnsi="新宋体" w:eastAsia="新宋体"/>
                <w:sz w:val="22"/>
                <w:szCs w:val="15"/>
              </w:rPr>
              <w:t>标</w:t>
            </w:r>
            <w:r>
              <w:rPr>
                <w:rFonts w:hint="eastAsia" w:ascii="新宋体" w:hAnsi="新宋体" w:eastAsia="新宋体"/>
                <w:sz w:val="22"/>
                <w:szCs w:val="15"/>
                <w:lang w:eastAsia="zh-CN"/>
              </w:rPr>
              <w:t>项名称</w:t>
            </w:r>
          </w:p>
        </w:tc>
        <w:tc>
          <w:tcPr>
            <w:tcW w:w="4105" w:type="dxa"/>
            <w:vAlign w:val="center"/>
          </w:tcPr>
          <w:p>
            <w:pPr>
              <w:jc w:val="center"/>
              <w:rPr>
                <w:rFonts w:ascii="新宋体" w:hAnsi="新宋体" w:eastAsia="新宋体"/>
                <w:sz w:val="22"/>
                <w:szCs w:val="15"/>
              </w:rPr>
            </w:pPr>
            <w:r>
              <w:rPr>
                <w:rFonts w:hint="eastAsia" w:ascii="新宋体" w:hAnsi="新宋体" w:eastAsia="新宋体"/>
                <w:sz w:val="22"/>
                <w:szCs w:val="15"/>
              </w:rPr>
              <w:t>报  价（元）</w:t>
            </w:r>
          </w:p>
        </w:tc>
        <w:tc>
          <w:tcPr>
            <w:tcW w:w="1554" w:type="dxa"/>
            <w:vAlign w:val="center"/>
          </w:tcPr>
          <w:p>
            <w:pPr>
              <w:jc w:val="center"/>
              <w:rPr>
                <w:rFonts w:ascii="新宋体" w:hAnsi="新宋体" w:eastAsia="新宋体"/>
                <w:sz w:val="22"/>
                <w:szCs w:val="15"/>
              </w:rPr>
            </w:pPr>
            <w:r>
              <w:rPr>
                <w:rFonts w:hint="eastAsia" w:ascii="新宋体" w:hAnsi="新宋体" w:eastAsia="新宋体"/>
                <w:sz w:val="22"/>
                <w:szCs w:val="15"/>
              </w:rPr>
              <w:t>服务期限</w:t>
            </w:r>
          </w:p>
        </w:tc>
        <w:tc>
          <w:tcPr>
            <w:tcW w:w="1248" w:type="dxa"/>
            <w:vAlign w:val="center"/>
          </w:tcPr>
          <w:p>
            <w:pPr>
              <w:jc w:val="center"/>
              <w:rPr>
                <w:rFonts w:ascii="新宋体" w:hAnsi="新宋体" w:eastAsia="新宋体"/>
                <w:sz w:val="22"/>
                <w:szCs w:val="15"/>
              </w:rPr>
            </w:pPr>
            <w:r>
              <w:rPr>
                <w:rFonts w:hint="eastAsia" w:ascii="新宋体" w:hAnsi="新宋体" w:eastAsia="新宋体"/>
                <w:sz w:val="22"/>
                <w:szCs w:val="15"/>
              </w:rPr>
              <w:t>项目负</w:t>
            </w:r>
          </w:p>
          <w:p>
            <w:pPr>
              <w:jc w:val="center"/>
              <w:rPr>
                <w:rFonts w:ascii="新宋体" w:hAnsi="新宋体" w:eastAsia="新宋体"/>
                <w:sz w:val="22"/>
                <w:szCs w:val="15"/>
              </w:rPr>
            </w:pPr>
            <w:r>
              <w:rPr>
                <w:rFonts w:hint="eastAsia" w:ascii="新宋体" w:hAnsi="新宋体" w:eastAsia="新宋体"/>
                <w:sz w:val="22"/>
                <w:szCs w:val="15"/>
              </w:rPr>
              <w:t>责人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2546" w:type="dxa"/>
            <w:vAlign w:val="center"/>
          </w:tcPr>
          <w:p>
            <w:pPr>
              <w:jc w:val="center"/>
              <w:rPr>
                <w:rFonts w:hint="eastAsia" w:ascii="新宋体" w:hAnsi="新宋体" w:eastAsia="新宋体"/>
                <w:sz w:val="22"/>
                <w:szCs w:val="15"/>
                <w:lang w:eastAsia="zh-CN"/>
              </w:rPr>
            </w:pPr>
            <w:r>
              <w:rPr>
                <w:rFonts w:hint="eastAsia" w:ascii="新宋体" w:hAnsi="新宋体" w:eastAsia="新宋体"/>
                <w:sz w:val="22"/>
                <w:szCs w:val="15"/>
                <w:lang w:eastAsia="zh-CN"/>
              </w:rPr>
              <w:t>温岭市新河镇2024年度病媒生物防制专业化服务项目采购</w:t>
            </w:r>
          </w:p>
        </w:tc>
        <w:tc>
          <w:tcPr>
            <w:tcW w:w="4105" w:type="dxa"/>
            <w:vAlign w:val="center"/>
          </w:tcPr>
          <w:p>
            <w:pPr>
              <w:rPr>
                <w:rFonts w:ascii="新宋体" w:hAnsi="新宋体" w:eastAsia="新宋体"/>
                <w:sz w:val="22"/>
                <w:szCs w:val="15"/>
                <w:u w:val="single"/>
              </w:rPr>
            </w:pPr>
            <w:r>
              <w:rPr>
                <w:rFonts w:hint="eastAsia" w:ascii="新宋体" w:hAnsi="新宋体" w:eastAsia="新宋体"/>
                <w:sz w:val="22"/>
                <w:szCs w:val="15"/>
              </w:rPr>
              <w:t>小写：</w:t>
            </w:r>
            <w:r>
              <w:rPr>
                <w:rFonts w:hint="eastAsia" w:ascii="新宋体" w:hAnsi="新宋体" w:eastAsia="新宋体"/>
                <w:sz w:val="22"/>
                <w:szCs w:val="15"/>
                <w:u w:val="single"/>
              </w:rPr>
              <w:t xml:space="preserve">                          </w:t>
            </w:r>
          </w:p>
          <w:p>
            <w:pPr>
              <w:rPr>
                <w:rFonts w:ascii="新宋体" w:hAnsi="新宋体" w:eastAsia="新宋体"/>
                <w:sz w:val="22"/>
                <w:szCs w:val="15"/>
              </w:rPr>
            </w:pPr>
          </w:p>
          <w:p>
            <w:pPr>
              <w:rPr>
                <w:rFonts w:ascii="新宋体" w:hAnsi="新宋体" w:eastAsia="新宋体"/>
                <w:sz w:val="22"/>
                <w:szCs w:val="15"/>
              </w:rPr>
            </w:pPr>
            <w:r>
              <w:rPr>
                <w:rFonts w:hint="eastAsia" w:ascii="新宋体" w:hAnsi="新宋体" w:eastAsia="新宋体"/>
                <w:sz w:val="22"/>
                <w:szCs w:val="15"/>
              </w:rPr>
              <w:t>大写：</w:t>
            </w:r>
            <w:r>
              <w:rPr>
                <w:rFonts w:hint="eastAsia" w:ascii="新宋体" w:hAnsi="新宋体" w:eastAsia="新宋体"/>
                <w:sz w:val="22"/>
                <w:szCs w:val="15"/>
                <w:u w:val="single"/>
              </w:rPr>
              <w:t xml:space="preserve">                          </w:t>
            </w:r>
          </w:p>
        </w:tc>
        <w:tc>
          <w:tcPr>
            <w:tcW w:w="1554" w:type="dxa"/>
            <w:vAlign w:val="center"/>
          </w:tcPr>
          <w:p>
            <w:pPr>
              <w:jc w:val="center"/>
              <w:rPr>
                <w:rFonts w:ascii="新宋体" w:hAnsi="新宋体" w:eastAsia="新宋体"/>
                <w:sz w:val="22"/>
                <w:szCs w:val="15"/>
              </w:rPr>
            </w:pPr>
            <w:r>
              <w:rPr>
                <w:rFonts w:hint="eastAsia" w:ascii="新宋体" w:hAnsi="新宋体" w:eastAsia="新宋体"/>
                <w:sz w:val="22"/>
                <w:szCs w:val="15"/>
              </w:rPr>
              <w:t>合同签订之日起一年</w:t>
            </w:r>
          </w:p>
        </w:tc>
        <w:tc>
          <w:tcPr>
            <w:tcW w:w="1248" w:type="dxa"/>
            <w:vAlign w:val="center"/>
          </w:tcPr>
          <w:p>
            <w:pPr>
              <w:rPr>
                <w:rFonts w:ascii="新宋体" w:hAnsi="新宋体" w:eastAsia="新宋体"/>
                <w:sz w:val="22"/>
                <w:szCs w:val="15"/>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453" w:type="dxa"/>
            <w:gridSpan w:val="4"/>
            <w:vAlign w:val="center"/>
          </w:tcPr>
          <w:p>
            <w:pPr>
              <w:ind w:firstLine="480"/>
              <w:jc w:val="center"/>
              <w:rPr>
                <w:rFonts w:ascii="新宋体" w:hAnsi="新宋体" w:eastAsia="新宋体"/>
                <w:sz w:val="22"/>
                <w:szCs w:val="15"/>
              </w:rPr>
            </w:pPr>
            <w:r>
              <w:rPr>
                <w:rFonts w:hint="eastAsia" w:ascii="新宋体" w:hAnsi="新宋体" w:eastAsia="新宋体"/>
                <w:sz w:val="22"/>
                <w:szCs w:val="15"/>
              </w:rPr>
              <w:t>本表转至投标函</w:t>
            </w:r>
          </w:p>
        </w:tc>
      </w:tr>
    </w:tbl>
    <w:p>
      <w:pPr>
        <w:spacing w:line="360" w:lineRule="auto"/>
        <w:rPr>
          <w:rFonts w:ascii="宋体"/>
          <w:sz w:val="24"/>
          <w:szCs w:val="24"/>
        </w:rPr>
      </w:pPr>
      <w:r>
        <w:rPr>
          <w:rFonts w:hint="eastAsia" w:ascii="宋体" w:hAnsi="宋体" w:cs="宋体"/>
          <w:b/>
          <w:bCs/>
        </w:rPr>
        <w:t>填报要求：</w:t>
      </w:r>
    </w:p>
    <w:p>
      <w:pPr>
        <w:pStyle w:val="9"/>
        <w:spacing w:line="360" w:lineRule="auto"/>
        <w:ind w:firstLineChars="200"/>
        <w:rPr>
          <w:rFonts w:ascii="宋体" w:hAnsi="宋体" w:cs="宋体"/>
          <w:kern w:val="0"/>
        </w:rPr>
      </w:pPr>
      <w:r>
        <w:rPr>
          <w:rFonts w:ascii="宋体" w:hAnsi="宋体" w:cs="宋体"/>
          <w:kern w:val="0"/>
        </w:rPr>
        <w:t>1.</w:t>
      </w:r>
      <w:r>
        <w:rPr>
          <w:rFonts w:hint="eastAsia" w:ascii="宋体" w:hAnsi="宋体" w:cs="宋体"/>
          <w:kern w:val="0"/>
        </w:rPr>
        <w:t>注：此表不得自行增减内容。</w:t>
      </w:r>
    </w:p>
    <w:p>
      <w:pPr>
        <w:spacing w:line="360" w:lineRule="auto"/>
        <w:ind w:firstLine="420" w:firstLineChars="200"/>
        <w:rPr>
          <w:rFonts w:ascii="宋体" w:hAnsi="宋体" w:cs="宋体"/>
          <w:kern w:val="0"/>
        </w:rPr>
      </w:pPr>
      <w:r>
        <w:rPr>
          <w:rFonts w:ascii="宋体" w:hAnsi="宋体" w:cs="宋体"/>
          <w:kern w:val="0"/>
        </w:rPr>
        <w:t>2.</w:t>
      </w:r>
      <w:r>
        <w:rPr>
          <w:rFonts w:hint="eastAsia" w:ascii="宋体" w:hAnsi="宋体" w:cs="宋体"/>
          <w:kern w:val="0"/>
        </w:rPr>
        <w:t>报价一经涂改，应在涂改处加盖单位公章，或者由法定代表人或授权代理人签字或盖章，否则其投标作无效</w:t>
      </w:r>
      <w:r>
        <w:rPr>
          <w:rFonts w:hint="eastAsia" w:ascii="宋体" w:hAnsi="宋体" w:cs="宋体"/>
          <w:kern w:val="0"/>
          <w:lang w:eastAsia="zh-CN"/>
        </w:rPr>
        <w:t>投标</w:t>
      </w:r>
      <w:r>
        <w:rPr>
          <w:rFonts w:hint="eastAsia" w:ascii="宋体" w:hAnsi="宋体" w:cs="宋体"/>
          <w:kern w:val="0"/>
        </w:rPr>
        <w:t>处理。</w:t>
      </w:r>
    </w:p>
    <w:p>
      <w:pPr>
        <w:pStyle w:val="9"/>
        <w:spacing w:line="360" w:lineRule="auto"/>
        <w:ind w:firstLineChars="200"/>
        <w:rPr>
          <w:rFonts w:ascii="宋体" w:hAnsi="宋体" w:cs="宋体"/>
          <w:kern w:val="0"/>
        </w:rPr>
      </w:pPr>
      <w:r>
        <w:rPr>
          <w:rFonts w:hint="eastAsia" w:ascii="宋体" w:hAnsi="宋体" w:cs="宋体"/>
          <w:kern w:val="0"/>
        </w:rPr>
        <w:t>3.</w:t>
      </w:r>
      <w:r>
        <w:rPr>
          <w:rFonts w:hint="eastAsia" w:ascii="宋体" w:hAnsi="宋体" w:cs="宋体"/>
        </w:rPr>
        <w:t>投标报价以人民币为结算货币，由投标人进行报价，采取总价（包括所有费用）合同承包，按总价投标和定标。除非合同中另有规定，投标报价须包括完成本次合同项目中的所有连带内容、关联内容所产生的费用，须包括市政、市容、环保、交通、治安等可能发生的费用，须包括劳务、管理、（劳动、社会、医疗、安全）保险、利润、税金、政策性文件规定及合同包含的所有风险、责任等合同中明示或暗示的所有一般风险、责任和义务等一切应由采购人支付的各项费用。投标人凡未列入的，将被认为均已包含在投标报价中。</w:t>
      </w:r>
    </w:p>
    <w:p>
      <w:pPr>
        <w:spacing w:line="360" w:lineRule="auto"/>
        <w:rPr>
          <w:rFonts w:ascii="宋体"/>
          <w:sz w:val="24"/>
          <w:szCs w:val="24"/>
        </w:rPr>
      </w:pPr>
    </w:p>
    <w:p>
      <w:pPr>
        <w:spacing w:line="360" w:lineRule="auto"/>
        <w:ind w:left="420"/>
        <w:rPr>
          <w:rFonts w:ascii="宋体"/>
          <w:sz w:val="24"/>
          <w:szCs w:val="24"/>
          <w:u w:val="single"/>
        </w:rPr>
      </w:pPr>
      <w:r>
        <w:rPr>
          <w:rFonts w:hint="eastAsia" w:ascii="宋体" w:hAnsi="宋体" w:cs="宋体"/>
          <w:sz w:val="24"/>
          <w:szCs w:val="24"/>
        </w:rPr>
        <w:t>投标人名称（盖章）：</w:t>
      </w:r>
    </w:p>
    <w:p>
      <w:pPr>
        <w:spacing w:line="360" w:lineRule="auto"/>
        <w:ind w:left="420"/>
        <w:rPr>
          <w:rFonts w:ascii="宋体"/>
          <w:sz w:val="24"/>
          <w:szCs w:val="24"/>
        </w:rPr>
      </w:pPr>
    </w:p>
    <w:p>
      <w:pPr>
        <w:spacing w:line="360" w:lineRule="auto"/>
        <w:ind w:firstLine="424" w:firstLineChars="177"/>
        <w:rPr>
          <w:rFonts w:ascii="宋体"/>
          <w:sz w:val="24"/>
          <w:szCs w:val="24"/>
        </w:rPr>
      </w:pPr>
      <w:r>
        <w:rPr>
          <w:rFonts w:hint="eastAsia" w:ascii="宋体" w:hAnsi="宋体" w:cs="宋体"/>
          <w:sz w:val="24"/>
          <w:szCs w:val="24"/>
        </w:rPr>
        <w:t>法定代表人或代理人（签字或盖章）：</w:t>
      </w:r>
    </w:p>
    <w:p>
      <w:pPr>
        <w:spacing w:line="360" w:lineRule="auto"/>
        <w:rPr>
          <w:rFonts w:ascii="宋体"/>
          <w:sz w:val="24"/>
          <w:szCs w:val="24"/>
        </w:rPr>
      </w:pPr>
    </w:p>
    <w:p>
      <w:pPr>
        <w:spacing w:line="360" w:lineRule="auto"/>
        <w:ind w:firstLine="435"/>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widowControl/>
        <w:jc w:val="left"/>
        <w:rPr>
          <w:rFonts w:ascii="宋体"/>
          <w:b/>
          <w:bCs/>
          <w:sz w:val="28"/>
          <w:szCs w:val="28"/>
        </w:rPr>
        <w:sectPr>
          <w:headerReference r:id="rId10" w:type="default"/>
          <w:pgSz w:w="11906" w:h="16838"/>
          <w:pgMar w:top="1361" w:right="1644" w:bottom="1361" w:left="1644" w:header="851" w:footer="992" w:gutter="0"/>
          <w:pgNumType w:fmt="numberInDash"/>
          <w:cols w:space="425" w:num="1"/>
          <w:docGrid w:type="lines" w:linePitch="312" w:charSpace="0"/>
        </w:sectPr>
      </w:pPr>
    </w:p>
    <w:p>
      <w:pPr>
        <w:pStyle w:val="11"/>
        <w:spacing w:line="460" w:lineRule="atLeast"/>
        <w:rPr>
          <w:rFonts w:hAnsi="宋体"/>
          <w:b/>
          <w:color w:val="000000"/>
          <w:sz w:val="24"/>
          <w:szCs w:val="24"/>
        </w:rPr>
      </w:pPr>
      <w:r>
        <w:rPr>
          <w:rFonts w:hAnsi="宋体"/>
          <w:b/>
          <w:color w:val="000000"/>
          <w:sz w:val="24"/>
          <w:szCs w:val="24"/>
        </w:rPr>
        <w:t>附件</w:t>
      </w:r>
      <w:r>
        <w:rPr>
          <w:rFonts w:hint="eastAsia" w:hAnsi="宋体"/>
          <w:b/>
          <w:color w:val="000000"/>
          <w:sz w:val="24"/>
          <w:szCs w:val="24"/>
        </w:rPr>
        <w:t>3</w:t>
      </w:r>
      <w:r>
        <w:rPr>
          <w:rFonts w:hAnsi="宋体"/>
          <w:b/>
          <w:color w:val="000000"/>
          <w:sz w:val="24"/>
          <w:szCs w:val="24"/>
        </w:rPr>
        <w:t>：</w:t>
      </w:r>
    </w:p>
    <w:p>
      <w:pPr>
        <w:pStyle w:val="11"/>
        <w:spacing w:line="460" w:lineRule="atLeast"/>
        <w:jc w:val="center"/>
        <w:rPr>
          <w:rFonts w:hAnsi="宋体"/>
          <w:b/>
          <w:color w:val="000000"/>
          <w:sz w:val="36"/>
          <w:szCs w:val="36"/>
        </w:rPr>
      </w:pPr>
      <w:r>
        <w:rPr>
          <w:rFonts w:hint="eastAsia" w:hAnsi="宋体"/>
          <w:b/>
          <w:color w:val="000000"/>
          <w:sz w:val="36"/>
          <w:szCs w:val="36"/>
          <w:lang w:eastAsia="zh-CN"/>
        </w:rPr>
        <w:t>温岭市新河镇2024年度病媒生物防制专业化服务项目采购</w:t>
      </w:r>
      <w:r>
        <w:rPr>
          <w:rFonts w:hAnsi="宋体"/>
          <w:b/>
          <w:color w:val="000000"/>
          <w:sz w:val="36"/>
          <w:szCs w:val="36"/>
        </w:rPr>
        <w:t>投标报价明细表</w:t>
      </w:r>
    </w:p>
    <w:p>
      <w:pPr>
        <w:pStyle w:val="11"/>
        <w:spacing w:line="460" w:lineRule="atLeast"/>
        <w:jc w:val="right"/>
        <w:rPr>
          <w:rFonts w:hAnsi="宋体"/>
          <w:bCs/>
          <w:color w:val="000000"/>
        </w:rPr>
      </w:pPr>
      <w:r>
        <w:rPr>
          <w:rFonts w:hAnsi="宋体"/>
          <w:bCs/>
          <w:color w:val="000000"/>
        </w:rPr>
        <w:t>单位：元</w:t>
      </w:r>
    </w:p>
    <w:tbl>
      <w:tblPr>
        <w:tblStyle w:val="20"/>
        <w:tblpPr w:leftFromText="180" w:rightFromText="180" w:vertAnchor="page" w:horzAnchor="page" w:tblpX="1771" w:tblpY="3186"/>
        <w:tblW w:w="0" w:type="auto"/>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563"/>
        <w:gridCol w:w="6118"/>
        <w:gridCol w:w="1414"/>
        <w:gridCol w:w="1322"/>
        <w:gridCol w:w="1083"/>
        <w:gridCol w:w="1376"/>
        <w:gridCol w:w="23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52" w:hRule="atLeast"/>
        </w:trPr>
        <w:tc>
          <w:tcPr>
            <w:tcW w:w="563" w:type="dxa"/>
            <w:vAlign w:val="center"/>
          </w:tcPr>
          <w:p>
            <w:pPr>
              <w:jc w:val="center"/>
              <w:rPr>
                <w:rFonts w:hAnsi="宋体"/>
                <w:b/>
                <w:bCs/>
                <w:sz w:val="24"/>
                <w:szCs w:val="15"/>
              </w:rPr>
            </w:pPr>
            <w:r>
              <w:rPr>
                <w:rFonts w:hint="eastAsia" w:hAnsi="宋体"/>
                <w:b/>
                <w:bCs/>
                <w:sz w:val="24"/>
                <w:szCs w:val="15"/>
              </w:rPr>
              <w:t>序号</w:t>
            </w:r>
          </w:p>
        </w:tc>
        <w:tc>
          <w:tcPr>
            <w:tcW w:w="6118" w:type="dxa"/>
            <w:vAlign w:val="center"/>
          </w:tcPr>
          <w:p>
            <w:pPr>
              <w:jc w:val="center"/>
              <w:rPr>
                <w:rFonts w:hAnsi="宋体"/>
                <w:b/>
                <w:bCs/>
                <w:sz w:val="24"/>
                <w:szCs w:val="15"/>
              </w:rPr>
            </w:pPr>
            <w:r>
              <w:rPr>
                <w:rFonts w:hint="eastAsia" w:hAnsi="宋体"/>
                <w:b/>
                <w:bCs/>
                <w:sz w:val="24"/>
                <w:szCs w:val="15"/>
              </w:rPr>
              <w:t>名称</w:t>
            </w:r>
          </w:p>
        </w:tc>
        <w:tc>
          <w:tcPr>
            <w:tcW w:w="1414" w:type="dxa"/>
            <w:vAlign w:val="center"/>
          </w:tcPr>
          <w:p>
            <w:pPr>
              <w:jc w:val="center"/>
              <w:rPr>
                <w:rFonts w:hAnsi="宋体"/>
                <w:b/>
                <w:bCs/>
                <w:sz w:val="24"/>
                <w:szCs w:val="15"/>
              </w:rPr>
            </w:pPr>
            <w:r>
              <w:rPr>
                <w:rFonts w:hint="eastAsia" w:hAnsi="宋体"/>
                <w:b/>
                <w:bCs/>
                <w:sz w:val="24"/>
                <w:szCs w:val="15"/>
              </w:rPr>
              <w:t>单位</w:t>
            </w:r>
          </w:p>
        </w:tc>
        <w:tc>
          <w:tcPr>
            <w:tcW w:w="1322" w:type="dxa"/>
            <w:vAlign w:val="center"/>
          </w:tcPr>
          <w:p>
            <w:pPr>
              <w:jc w:val="center"/>
              <w:rPr>
                <w:rFonts w:hAnsi="宋体"/>
                <w:b/>
                <w:bCs/>
                <w:sz w:val="24"/>
                <w:szCs w:val="15"/>
              </w:rPr>
            </w:pPr>
            <w:r>
              <w:rPr>
                <w:rFonts w:hint="eastAsia" w:hAnsi="宋体"/>
                <w:b/>
                <w:bCs/>
                <w:sz w:val="24"/>
                <w:szCs w:val="15"/>
              </w:rPr>
              <w:t>数量</w:t>
            </w:r>
          </w:p>
        </w:tc>
        <w:tc>
          <w:tcPr>
            <w:tcW w:w="1083" w:type="dxa"/>
            <w:vAlign w:val="center"/>
          </w:tcPr>
          <w:p>
            <w:pPr>
              <w:jc w:val="center"/>
              <w:rPr>
                <w:rFonts w:hint="eastAsia" w:hAnsi="宋体" w:eastAsia="宋体"/>
                <w:b/>
                <w:bCs/>
                <w:sz w:val="24"/>
                <w:szCs w:val="15"/>
                <w:lang w:eastAsia="zh-CN"/>
              </w:rPr>
            </w:pPr>
            <w:r>
              <w:rPr>
                <w:rFonts w:hint="eastAsia" w:hAnsi="宋体"/>
                <w:b/>
                <w:bCs/>
                <w:sz w:val="24"/>
                <w:szCs w:val="15"/>
              </w:rPr>
              <w:t>单价</w:t>
            </w:r>
            <w:r>
              <w:rPr>
                <w:rFonts w:hint="eastAsia" w:hAnsi="宋体"/>
                <w:b/>
                <w:bCs/>
                <w:sz w:val="24"/>
                <w:szCs w:val="15"/>
                <w:lang w:eastAsia="zh-CN"/>
              </w:rPr>
              <w:t>（元）</w:t>
            </w:r>
          </w:p>
        </w:tc>
        <w:tc>
          <w:tcPr>
            <w:tcW w:w="1376" w:type="dxa"/>
            <w:vAlign w:val="center"/>
          </w:tcPr>
          <w:p>
            <w:pPr>
              <w:jc w:val="center"/>
              <w:rPr>
                <w:rFonts w:hint="eastAsia" w:hAnsi="宋体" w:eastAsia="宋体"/>
                <w:b/>
                <w:bCs/>
                <w:sz w:val="24"/>
                <w:szCs w:val="15"/>
                <w:lang w:eastAsia="zh-CN"/>
              </w:rPr>
            </w:pPr>
            <w:r>
              <w:rPr>
                <w:rFonts w:hint="eastAsia" w:hAnsi="宋体"/>
                <w:b/>
                <w:bCs/>
                <w:sz w:val="24"/>
                <w:szCs w:val="15"/>
              </w:rPr>
              <w:t>合计金额</w:t>
            </w:r>
            <w:r>
              <w:rPr>
                <w:rFonts w:hint="eastAsia" w:hAnsi="宋体"/>
                <w:b/>
                <w:bCs/>
                <w:sz w:val="24"/>
                <w:szCs w:val="15"/>
                <w:lang w:eastAsia="zh-CN"/>
              </w:rPr>
              <w:t>（元）</w:t>
            </w:r>
          </w:p>
        </w:tc>
        <w:tc>
          <w:tcPr>
            <w:tcW w:w="2344" w:type="dxa"/>
            <w:vAlign w:val="center"/>
          </w:tcPr>
          <w:p>
            <w:pPr>
              <w:jc w:val="center"/>
              <w:rPr>
                <w:rFonts w:hAnsi="宋体"/>
                <w:b/>
                <w:bCs/>
                <w:sz w:val="24"/>
                <w:szCs w:val="15"/>
              </w:rPr>
            </w:pPr>
            <w:r>
              <w:rPr>
                <w:rFonts w:hint="eastAsia" w:hAnsi="宋体"/>
                <w:b/>
                <w:bCs/>
                <w:sz w:val="24"/>
                <w:szCs w:val="15"/>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87" w:hRule="atLeast"/>
        </w:trPr>
        <w:tc>
          <w:tcPr>
            <w:tcW w:w="563" w:type="dxa"/>
            <w:vAlign w:val="center"/>
          </w:tcPr>
          <w:p>
            <w:pPr>
              <w:jc w:val="center"/>
              <w:rPr>
                <w:rFonts w:hAnsi="宋体"/>
                <w:sz w:val="24"/>
                <w:szCs w:val="15"/>
              </w:rPr>
            </w:pPr>
            <w:r>
              <w:rPr>
                <w:rFonts w:hint="eastAsia" w:hAnsi="宋体"/>
                <w:sz w:val="24"/>
                <w:szCs w:val="15"/>
              </w:rPr>
              <w:t>1</w:t>
            </w:r>
          </w:p>
        </w:tc>
        <w:tc>
          <w:tcPr>
            <w:tcW w:w="6118" w:type="dxa"/>
            <w:vAlign w:val="center"/>
          </w:tcPr>
          <w:p>
            <w:pPr>
              <w:jc w:val="center"/>
              <w:rPr>
                <w:rFonts w:hAnsi="宋体"/>
                <w:sz w:val="24"/>
                <w:szCs w:val="15"/>
              </w:rPr>
            </w:pPr>
            <w:r>
              <w:rPr>
                <w:rFonts w:hint="eastAsia" w:hAnsi="宋体"/>
                <w:sz w:val="24"/>
                <w:szCs w:val="15"/>
              </w:rPr>
              <w:t>公共外环境消杀</w:t>
            </w:r>
          </w:p>
        </w:tc>
        <w:tc>
          <w:tcPr>
            <w:tcW w:w="1414" w:type="dxa"/>
            <w:vAlign w:val="center"/>
          </w:tcPr>
          <w:p>
            <w:pPr>
              <w:jc w:val="center"/>
              <w:rPr>
                <w:rFonts w:hAnsi="宋体"/>
                <w:sz w:val="24"/>
                <w:szCs w:val="15"/>
              </w:rPr>
            </w:pPr>
            <w:r>
              <w:rPr>
                <w:rFonts w:hint="eastAsia" w:hAnsi="宋体"/>
                <w:sz w:val="24"/>
                <w:szCs w:val="15"/>
              </w:rPr>
              <w:t>平方公里</w:t>
            </w:r>
          </w:p>
        </w:tc>
        <w:tc>
          <w:tcPr>
            <w:tcW w:w="1322" w:type="dxa"/>
            <w:vAlign w:val="center"/>
          </w:tcPr>
          <w:p>
            <w:pPr>
              <w:jc w:val="center"/>
              <w:rPr>
                <w:rFonts w:hint="eastAsia" w:hAnsi="宋体" w:eastAsia="宋体"/>
                <w:sz w:val="24"/>
                <w:szCs w:val="15"/>
                <w:lang w:eastAsia="zh-CN"/>
              </w:rPr>
            </w:pPr>
            <w:r>
              <w:rPr>
                <w:rFonts w:hint="eastAsia" w:hAnsi="宋体"/>
                <w:sz w:val="24"/>
                <w:szCs w:val="15"/>
                <w:lang w:eastAsia="zh-CN"/>
              </w:rPr>
              <w:t>8.74</w:t>
            </w:r>
          </w:p>
        </w:tc>
        <w:tc>
          <w:tcPr>
            <w:tcW w:w="1083" w:type="dxa"/>
            <w:vAlign w:val="center"/>
          </w:tcPr>
          <w:p>
            <w:pPr>
              <w:jc w:val="center"/>
              <w:rPr>
                <w:rFonts w:hAnsi="宋体"/>
                <w:sz w:val="24"/>
                <w:szCs w:val="15"/>
              </w:rPr>
            </w:pPr>
          </w:p>
        </w:tc>
        <w:tc>
          <w:tcPr>
            <w:tcW w:w="1376" w:type="dxa"/>
            <w:vAlign w:val="center"/>
          </w:tcPr>
          <w:p>
            <w:pPr>
              <w:jc w:val="center"/>
              <w:rPr>
                <w:rFonts w:hAnsi="宋体"/>
                <w:sz w:val="24"/>
                <w:szCs w:val="15"/>
              </w:rPr>
            </w:pPr>
          </w:p>
        </w:tc>
        <w:tc>
          <w:tcPr>
            <w:tcW w:w="2344" w:type="dxa"/>
            <w:vAlign w:val="center"/>
          </w:tcPr>
          <w:p>
            <w:pPr>
              <w:jc w:val="center"/>
              <w:rPr>
                <w:rFonts w:hAnsi="宋体"/>
                <w:sz w:val="24"/>
                <w:szCs w:val="15"/>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87" w:hRule="atLeast"/>
        </w:trPr>
        <w:tc>
          <w:tcPr>
            <w:tcW w:w="563" w:type="dxa"/>
            <w:vAlign w:val="center"/>
          </w:tcPr>
          <w:p>
            <w:pPr>
              <w:jc w:val="center"/>
              <w:rPr>
                <w:rFonts w:hAnsi="宋体"/>
                <w:sz w:val="24"/>
                <w:szCs w:val="15"/>
              </w:rPr>
            </w:pPr>
            <w:r>
              <w:rPr>
                <w:rFonts w:hint="eastAsia" w:hAnsi="宋体"/>
                <w:sz w:val="24"/>
                <w:szCs w:val="15"/>
              </w:rPr>
              <w:t>2</w:t>
            </w:r>
          </w:p>
        </w:tc>
        <w:tc>
          <w:tcPr>
            <w:tcW w:w="6118" w:type="dxa"/>
            <w:tcBorders>
              <w:bottom w:val="single" w:color="auto" w:sz="4" w:space="0"/>
            </w:tcBorders>
            <w:vAlign w:val="center"/>
          </w:tcPr>
          <w:p>
            <w:pPr>
              <w:jc w:val="center"/>
              <w:rPr>
                <w:rFonts w:hAnsi="宋体"/>
                <w:sz w:val="24"/>
                <w:szCs w:val="15"/>
              </w:rPr>
            </w:pPr>
            <w:r>
              <w:rPr>
                <w:rFonts w:hint="eastAsia" w:hAnsi="宋体"/>
                <w:sz w:val="24"/>
                <w:szCs w:val="15"/>
              </w:rPr>
              <w:t>相关经营单位（六小行业、其他沿街店铺）四害消杀</w:t>
            </w:r>
          </w:p>
        </w:tc>
        <w:tc>
          <w:tcPr>
            <w:tcW w:w="1414" w:type="dxa"/>
            <w:vAlign w:val="center"/>
          </w:tcPr>
          <w:p>
            <w:pPr>
              <w:jc w:val="center"/>
              <w:rPr>
                <w:rFonts w:hAnsi="宋体"/>
                <w:sz w:val="24"/>
                <w:szCs w:val="15"/>
              </w:rPr>
            </w:pPr>
            <w:r>
              <w:rPr>
                <w:rFonts w:hint="eastAsia" w:hAnsi="宋体"/>
                <w:sz w:val="24"/>
                <w:szCs w:val="15"/>
              </w:rPr>
              <w:t>家</w:t>
            </w:r>
          </w:p>
        </w:tc>
        <w:tc>
          <w:tcPr>
            <w:tcW w:w="1322" w:type="dxa"/>
            <w:vAlign w:val="center"/>
          </w:tcPr>
          <w:p>
            <w:pPr>
              <w:jc w:val="center"/>
              <w:rPr>
                <w:rFonts w:hAnsi="宋体"/>
                <w:sz w:val="24"/>
                <w:szCs w:val="15"/>
              </w:rPr>
            </w:pPr>
            <w:r>
              <w:rPr>
                <w:rFonts w:hint="eastAsia" w:hAnsi="宋体"/>
                <w:sz w:val="24"/>
                <w:szCs w:val="15"/>
              </w:rPr>
              <w:t>3000</w:t>
            </w:r>
          </w:p>
        </w:tc>
        <w:tc>
          <w:tcPr>
            <w:tcW w:w="1083" w:type="dxa"/>
            <w:vAlign w:val="center"/>
          </w:tcPr>
          <w:p>
            <w:pPr>
              <w:jc w:val="center"/>
              <w:rPr>
                <w:rFonts w:hAnsi="宋体"/>
                <w:sz w:val="24"/>
                <w:szCs w:val="15"/>
              </w:rPr>
            </w:pPr>
          </w:p>
        </w:tc>
        <w:tc>
          <w:tcPr>
            <w:tcW w:w="1376" w:type="dxa"/>
            <w:vAlign w:val="center"/>
          </w:tcPr>
          <w:p>
            <w:pPr>
              <w:jc w:val="center"/>
              <w:rPr>
                <w:rFonts w:hAnsi="宋体"/>
                <w:sz w:val="24"/>
                <w:szCs w:val="15"/>
              </w:rPr>
            </w:pPr>
          </w:p>
        </w:tc>
        <w:tc>
          <w:tcPr>
            <w:tcW w:w="2344" w:type="dxa"/>
            <w:vAlign w:val="center"/>
          </w:tcPr>
          <w:p>
            <w:pPr>
              <w:jc w:val="center"/>
              <w:rPr>
                <w:rFonts w:hAnsi="宋体"/>
                <w:sz w:val="24"/>
                <w:szCs w:val="15"/>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87" w:hRule="atLeast"/>
        </w:trPr>
        <w:tc>
          <w:tcPr>
            <w:tcW w:w="563" w:type="dxa"/>
            <w:vAlign w:val="center"/>
          </w:tcPr>
          <w:p>
            <w:pPr>
              <w:jc w:val="center"/>
              <w:rPr>
                <w:rFonts w:hAnsi="宋体"/>
                <w:sz w:val="24"/>
                <w:szCs w:val="15"/>
              </w:rPr>
            </w:pPr>
            <w:r>
              <w:rPr>
                <w:rFonts w:hint="eastAsia" w:hAnsi="宋体"/>
                <w:sz w:val="24"/>
                <w:szCs w:val="15"/>
              </w:rPr>
              <w:t>3</w:t>
            </w:r>
          </w:p>
        </w:tc>
        <w:tc>
          <w:tcPr>
            <w:tcW w:w="6118" w:type="dxa"/>
            <w:tcBorders>
              <w:top w:val="single" w:color="auto" w:sz="4" w:space="0"/>
            </w:tcBorders>
            <w:vAlign w:val="center"/>
          </w:tcPr>
          <w:p>
            <w:pPr>
              <w:jc w:val="center"/>
              <w:rPr>
                <w:rFonts w:hAnsi="宋体"/>
                <w:sz w:val="24"/>
                <w:szCs w:val="15"/>
              </w:rPr>
            </w:pPr>
            <w:r>
              <w:rPr>
                <w:rFonts w:hint="eastAsia" w:hAnsi="宋体"/>
                <w:sz w:val="24"/>
                <w:szCs w:val="15"/>
              </w:rPr>
              <w:t>辖区居民除害药物</w:t>
            </w:r>
          </w:p>
        </w:tc>
        <w:tc>
          <w:tcPr>
            <w:tcW w:w="1414" w:type="dxa"/>
            <w:vAlign w:val="center"/>
          </w:tcPr>
          <w:p>
            <w:pPr>
              <w:jc w:val="center"/>
              <w:rPr>
                <w:rFonts w:hAnsi="宋体"/>
                <w:sz w:val="24"/>
                <w:szCs w:val="15"/>
              </w:rPr>
            </w:pPr>
            <w:r>
              <w:rPr>
                <w:rFonts w:hint="eastAsia" w:hAnsi="宋体"/>
                <w:sz w:val="24"/>
                <w:szCs w:val="15"/>
              </w:rPr>
              <w:t>户</w:t>
            </w:r>
          </w:p>
        </w:tc>
        <w:tc>
          <w:tcPr>
            <w:tcW w:w="1322" w:type="dxa"/>
            <w:vAlign w:val="center"/>
          </w:tcPr>
          <w:p>
            <w:pPr>
              <w:jc w:val="center"/>
              <w:rPr>
                <w:rFonts w:hAnsi="宋体"/>
                <w:sz w:val="24"/>
                <w:szCs w:val="15"/>
              </w:rPr>
            </w:pPr>
            <w:r>
              <w:rPr>
                <w:rFonts w:hint="eastAsia"/>
                <w:sz w:val="24"/>
              </w:rPr>
              <w:t>40952</w:t>
            </w:r>
          </w:p>
        </w:tc>
        <w:tc>
          <w:tcPr>
            <w:tcW w:w="1083" w:type="dxa"/>
            <w:vAlign w:val="center"/>
          </w:tcPr>
          <w:p>
            <w:pPr>
              <w:jc w:val="center"/>
              <w:rPr>
                <w:rFonts w:hAnsi="宋体"/>
                <w:sz w:val="24"/>
                <w:szCs w:val="15"/>
              </w:rPr>
            </w:pPr>
          </w:p>
        </w:tc>
        <w:tc>
          <w:tcPr>
            <w:tcW w:w="1376" w:type="dxa"/>
            <w:vAlign w:val="center"/>
          </w:tcPr>
          <w:p>
            <w:pPr>
              <w:jc w:val="center"/>
              <w:rPr>
                <w:rFonts w:hAnsi="宋体"/>
                <w:sz w:val="24"/>
                <w:szCs w:val="15"/>
              </w:rPr>
            </w:pPr>
          </w:p>
        </w:tc>
        <w:tc>
          <w:tcPr>
            <w:tcW w:w="2344" w:type="dxa"/>
            <w:vAlign w:val="center"/>
          </w:tcPr>
          <w:p>
            <w:pPr>
              <w:jc w:val="center"/>
              <w:rPr>
                <w:rFonts w:hAnsi="宋体"/>
                <w:sz w:val="24"/>
                <w:szCs w:val="15"/>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87" w:hRule="atLeast"/>
        </w:trPr>
        <w:tc>
          <w:tcPr>
            <w:tcW w:w="563" w:type="dxa"/>
            <w:vAlign w:val="center"/>
          </w:tcPr>
          <w:p>
            <w:pPr>
              <w:jc w:val="center"/>
              <w:rPr>
                <w:rFonts w:hAnsi="宋体"/>
                <w:sz w:val="24"/>
                <w:szCs w:val="15"/>
              </w:rPr>
            </w:pPr>
            <w:r>
              <w:rPr>
                <w:rFonts w:hint="eastAsia" w:hAnsi="宋体"/>
                <w:sz w:val="24"/>
                <w:szCs w:val="15"/>
              </w:rPr>
              <w:t>4</w:t>
            </w:r>
          </w:p>
        </w:tc>
        <w:tc>
          <w:tcPr>
            <w:tcW w:w="6118" w:type="dxa"/>
            <w:tcBorders>
              <w:bottom w:val="single" w:color="auto" w:sz="4" w:space="0"/>
            </w:tcBorders>
            <w:vAlign w:val="center"/>
          </w:tcPr>
          <w:p>
            <w:pPr>
              <w:jc w:val="center"/>
              <w:rPr>
                <w:rFonts w:hAnsi="宋体"/>
                <w:sz w:val="24"/>
                <w:szCs w:val="15"/>
              </w:rPr>
            </w:pPr>
            <w:r>
              <w:rPr>
                <w:rFonts w:hint="eastAsia" w:hAnsi="宋体"/>
                <w:sz w:val="24"/>
                <w:szCs w:val="15"/>
              </w:rPr>
              <w:t>农贸市场病媒生物防治</w:t>
            </w:r>
          </w:p>
        </w:tc>
        <w:tc>
          <w:tcPr>
            <w:tcW w:w="1414" w:type="dxa"/>
            <w:vAlign w:val="center"/>
          </w:tcPr>
          <w:p>
            <w:pPr>
              <w:jc w:val="center"/>
              <w:rPr>
                <w:rFonts w:hAnsi="宋体"/>
                <w:sz w:val="24"/>
                <w:szCs w:val="15"/>
              </w:rPr>
            </w:pPr>
            <w:r>
              <w:rPr>
                <w:rFonts w:hint="eastAsia" w:hAnsi="宋体"/>
                <w:sz w:val="24"/>
                <w:szCs w:val="15"/>
              </w:rPr>
              <w:t>家</w:t>
            </w:r>
          </w:p>
        </w:tc>
        <w:tc>
          <w:tcPr>
            <w:tcW w:w="1322" w:type="dxa"/>
            <w:vAlign w:val="center"/>
          </w:tcPr>
          <w:p>
            <w:pPr>
              <w:jc w:val="center"/>
              <w:rPr>
                <w:rFonts w:hAnsi="宋体"/>
                <w:sz w:val="24"/>
                <w:szCs w:val="15"/>
              </w:rPr>
            </w:pPr>
            <w:r>
              <w:rPr>
                <w:rFonts w:hint="eastAsia"/>
                <w:sz w:val="24"/>
                <w:szCs w:val="15"/>
              </w:rPr>
              <w:t>9</w:t>
            </w:r>
          </w:p>
        </w:tc>
        <w:tc>
          <w:tcPr>
            <w:tcW w:w="1083" w:type="dxa"/>
            <w:vAlign w:val="center"/>
          </w:tcPr>
          <w:p>
            <w:pPr>
              <w:jc w:val="center"/>
              <w:rPr>
                <w:rFonts w:hAnsi="宋体"/>
                <w:sz w:val="24"/>
                <w:szCs w:val="15"/>
              </w:rPr>
            </w:pPr>
          </w:p>
        </w:tc>
        <w:tc>
          <w:tcPr>
            <w:tcW w:w="1376" w:type="dxa"/>
            <w:tcBorders>
              <w:right w:val="single" w:color="auto" w:sz="4" w:space="0"/>
            </w:tcBorders>
            <w:vAlign w:val="center"/>
          </w:tcPr>
          <w:p>
            <w:pPr>
              <w:jc w:val="center"/>
              <w:rPr>
                <w:rFonts w:hAnsi="宋体"/>
                <w:sz w:val="24"/>
                <w:szCs w:val="15"/>
              </w:rPr>
            </w:pPr>
          </w:p>
        </w:tc>
        <w:tc>
          <w:tcPr>
            <w:tcW w:w="2344" w:type="dxa"/>
            <w:vAlign w:val="center"/>
          </w:tcPr>
          <w:p>
            <w:pPr>
              <w:jc w:val="center"/>
              <w:rPr>
                <w:rFonts w:hAnsi="宋体"/>
                <w:sz w:val="24"/>
                <w:szCs w:val="15"/>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603" w:hRule="atLeast"/>
        </w:trPr>
        <w:tc>
          <w:tcPr>
            <w:tcW w:w="563" w:type="dxa"/>
            <w:vAlign w:val="center"/>
          </w:tcPr>
          <w:p>
            <w:pPr>
              <w:jc w:val="center"/>
              <w:rPr>
                <w:rFonts w:hAnsi="宋体"/>
                <w:sz w:val="24"/>
                <w:szCs w:val="15"/>
              </w:rPr>
            </w:pPr>
            <w:r>
              <w:rPr>
                <w:rFonts w:hint="eastAsia" w:hAnsi="宋体"/>
                <w:sz w:val="24"/>
                <w:szCs w:val="15"/>
              </w:rPr>
              <w:t>5</w:t>
            </w:r>
          </w:p>
        </w:tc>
        <w:tc>
          <w:tcPr>
            <w:tcW w:w="6118" w:type="dxa"/>
            <w:vAlign w:val="center"/>
          </w:tcPr>
          <w:p>
            <w:pPr>
              <w:jc w:val="center"/>
              <w:rPr>
                <w:rFonts w:hAnsi="宋体"/>
                <w:sz w:val="24"/>
                <w:szCs w:val="15"/>
              </w:rPr>
            </w:pPr>
            <w:r>
              <w:rPr>
                <w:rFonts w:hint="eastAsia" w:hAnsi="宋体"/>
                <w:sz w:val="24"/>
                <w:szCs w:val="15"/>
              </w:rPr>
              <w:t>灭鼠陶瓷毒饵站</w:t>
            </w:r>
          </w:p>
        </w:tc>
        <w:tc>
          <w:tcPr>
            <w:tcW w:w="1414" w:type="dxa"/>
            <w:tcBorders>
              <w:right w:val="single" w:color="auto" w:sz="4" w:space="0"/>
            </w:tcBorders>
            <w:vAlign w:val="center"/>
          </w:tcPr>
          <w:p>
            <w:pPr>
              <w:jc w:val="center"/>
              <w:rPr>
                <w:rFonts w:hAnsi="宋体"/>
                <w:sz w:val="24"/>
                <w:szCs w:val="15"/>
              </w:rPr>
            </w:pPr>
            <w:r>
              <w:rPr>
                <w:rFonts w:hint="eastAsia" w:hAnsi="宋体"/>
                <w:sz w:val="24"/>
                <w:szCs w:val="15"/>
              </w:rPr>
              <w:t>个</w:t>
            </w:r>
          </w:p>
        </w:tc>
        <w:tc>
          <w:tcPr>
            <w:tcW w:w="1322" w:type="dxa"/>
            <w:tcBorders>
              <w:left w:val="single" w:color="auto" w:sz="4" w:space="0"/>
              <w:right w:val="single" w:color="auto" w:sz="4" w:space="0"/>
            </w:tcBorders>
            <w:vAlign w:val="center"/>
          </w:tcPr>
          <w:p>
            <w:pPr>
              <w:jc w:val="center"/>
              <w:rPr>
                <w:rFonts w:hAnsi="宋体"/>
                <w:sz w:val="24"/>
                <w:szCs w:val="15"/>
              </w:rPr>
            </w:pPr>
            <w:r>
              <w:rPr>
                <w:rFonts w:hint="eastAsia" w:hAnsi="宋体"/>
                <w:sz w:val="24"/>
                <w:szCs w:val="15"/>
              </w:rPr>
              <w:t>1000</w:t>
            </w:r>
          </w:p>
        </w:tc>
        <w:tc>
          <w:tcPr>
            <w:tcW w:w="1083" w:type="dxa"/>
            <w:tcBorders>
              <w:left w:val="single" w:color="auto" w:sz="4" w:space="0"/>
              <w:right w:val="single" w:color="auto" w:sz="4" w:space="0"/>
            </w:tcBorders>
            <w:vAlign w:val="center"/>
          </w:tcPr>
          <w:p>
            <w:pPr>
              <w:jc w:val="center"/>
              <w:rPr>
                <w:rFonts w:hAnsi="宋体"/>
                <w:sz w:val="24"/>
                <w:szCs w:val="15"/>
              </w:rPr>
            </w:pPr>
          </w:p>
        </w:tc>
        <w:tc>
          <w:tcPr>
            <w:tcW w:w="1376" w:type="dxa"/>
            <w:tcBorders>
              <w:left w:val="single" w:color="auto" w:sz="4" w:space="0"/>
              <w:right w:val="single" w:color="auto" w:sz="4" w:space="0"/>
            </w:tcBorders>
            <w:vAlign w:val="center"/>
          </w:tcPr>
          <w:p>
            <w:pPr>
              <w:jc w:val="center"/>
              <w:rPr>
                <w:rFonts w:hAnsi="宋体"/>
                <w:sz w:val="24"/>
                <w:szCs w:val="15"/>
              </w:rPr>
            </w:pPr>
          </w:p>
        </w:tc>
        <w:tc>
          <w:tcPr>
            <w:tcW w:w="2344" w:type="dxa"/>
            <w:vAlign w:val="center"/>
          </w:tcPr>
          <w:p>
            <w:pPr>
              <w:jc w:val="center"/>
              <w:rPr>
                <w:rFonts w:hAnsi="宋体"/>
                <w:sz w:val="22"/>
                <w:szCs w:val="13"/>
              </w:rPr>
            </w:pPr>
            <w:r>
              <w:rPr>
                <w:rFonts w:hint="eastAsia" w:hAnsi="宋体"/>
                <w:sz w:val="21"/>
                <w:szCs w:val="11"/>
              </w:rPr>
              <w:t>此项含原灭鼠陶瓷饵站维护费用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287" w:hRule="atLeast"/>
        </w:trPr>
        <w:tc>
          <w:tcPr>
            <w:tcW w:w="563" w:type="dxa"/>
            <w:vAlign w:val="center"/>
          </w:tcPr>
          <w:p>
            <w:pPr>
              <w:jc w:val="center"/>
              <w:rPr>
                <w:rFonts w:hAnsi="宋体"/>
                <w:sz w:val="24"/>
                <w:szCs w:val="15"/>
              </w:rPr>
            </w:pPr>
            <w:r>
              <w:rPr>
                <w:rFonts w:hint="eastAsia" w:hAnsi="宋体"/>
                <w:sz w:val="24"/>
                <w:szCs w:val="15"/>
              </w:rPr>
              <w:t>6</w:t>
            </w:r>
          </w:p>
        </w:tc>
        <w:tc>
          <w:tcPr>
            <w:tcW w:w="6118" w:type="dxa"/>
            <w:vAlign w:val="center"/>
          </w:tcPr>
          <w:p>
            <w:pPr>
              <w:jc w:val="center"/>
              <w:rPr>
                <w:rFonts w:hAnsi="宋体"/>
                <w:sz w:val="24"/>
                <w:szCs w:val="15"/>
              </w:rPr>
            </w:pPr>
            <w:r>
              <w:rPr>
                <w:rFonts w:hint="eastAsia" w:hAnsi="宋体"/>
                <w:sz w:val="24"/>
                <w:szCs w:val="15"/>
              </w:rPr>
              <w:t>诱蝇笼</w:t>
            </w:r>
            <w:r>
              <w:rPr>
                <w:rFonts w:hint="eastAsia" w:hAnsi="宋体"/>
                <w:sz w:val="24"/>
                <w:szCs w:val="15"/>
                <w:lang w:eastAsia="zh-CN"/>
              </w:rPr>
              <w:t>（</w:t>
            </w:r>
            <w:r>
              <w:rPr>
                <w:rFonts w:hint="eastAsia" w:hAnsi="宋体"/>
                <w:sz w:val="24"/>
                <w:szCs w:val="15"/>
              </w:rPr>
              <w:t>固定式</w:t>
            </w:r>
            <w:r>
              <w:rPr>
                <w:rFonts w:hint="eastAsia" w:hAnsi="宋体"/>
                <w:sz w:val="24"/>
                <w:szCs w:val="15"/>
                <w:lang w:eastAsia="zh-CN"/>
              </w:rPr>
              <w:t>）</w:t>
            </w:r>
          </w:p>
        </w:tc>
        <w:tc>
          <w:tcPr>
            <w:tcW w:w="1414" w:type="dxa"/>
            <w:tcBorders>
              <w:right w:val="single" w:color="auto" w:sz="4" w:space="0"/>
            </w:tcBorders>
            <w:vAlign w:val="center"/>
          </w:tcPr>
          <w:p>
            <w:pPr>
              <w:jc w:val="center"/>
              <w:rPr>
                <w:rFonts w:hAnsi="宋体"/>
                <w:sz w:val="24"/>
                <w:szCs w:val="15"/>
              </w:rPr>
            </w:pPr>
            <w:r>
              <w:rPr>
                <w:rFonts w:hint="eastAsia" w:hAnsi="宋体"/>
                <w:sz w:val="24"/>
                <w:szCs w:val="15"/>
              </w:rPr>
              <w:t>个</w:t>
            </w:r>
          </w:p>
        </w:tc>
        <w:tc>
          <w:tcPr>
            <w:tcW w:w="1322" w:type="dxa"/>
            <w:tcBorders>
              <w:left w:val="single" w:color="auto" w:sz="4" w:space="0"/>
              <w:right w:val="single" w:color="auto" w:sz="4" w:space="0"/>
            </w:tcBorders>
            <w:vAlign w:val="center"/>
          </w:tcPr>
          <w:p>
            <w:pPr>
              <w:jc w:val="center"/>
              <w:rPr>
                <w:rFonts w:hAnsi="宋体"/>
                <w:sz w:val="24"/>
                <w:szCs w:val="15"/>
              </w:rPr>
            </w:pPr>
            <w:r>
              <w:rPr>
                <w:rFonts w:hint="eastAsia" w:hAnsi="宋体"/>
                <w:sz w:val="24"/>
                <w:szCs w:val="15"/>
              </w:rPr>
              <w:t>500</w:t>
            </w:r>
          </w:p>
        </w:tc>
        <w:tc>
          <w:tcPr>
            <w:tcW w:w="1083" w:type="dxa"/>
            <w:tcBorders>
              <w:left w:val="single" w:color="auto" w:sz="4" w:space="0"/>
              <w:right w:val="single" w:color="auto" w:sz="4" w:space="0"/>
            </w:tcBorders>
            <w:vAlign w:val="center"/>
          </w:tcPr>
          <w:p>
            <w:pPr>
              <w:jc w:val="center"/>
              <w:rPr>
                <w:rFonts w:hAnsi="宋体"/>
                <w:color w:val="FF0000"/>
                <w:sz w:val="24"/>
                <w:szCs w:val="15"/>
              </w:rPr>
            </w:pPr>
          </w:p>
        </w:tc>
        <w:tc>
          <w:tcPr>
            <w:tcW w:w="1376" w:type="dxa"/>
            <w:tcBorders>
              <w:left w:val="single" w:color="auto" w:sz="4" w:space="0"/>
              <w:right w:val="single" w:color="auto" w:sz="4" w:space="0"/>
            </w:tcBorders>
            <w:vAlign w:val="center"/>
          </w:tcPr>
          <w:p>
            <w:pPr>
              <w:jc w:val="center"/>
              <w:rPr>
                <w:rFonts w:hAnsi="宋体"/>
                <w:color w:val="FF0000"/>
                <w:sz w:val="24"/>
                <w:szCs w:val="15"/>
              </w:rPr>
            </w:pPr>
          </w:p>
        </w:tc>
        <w:tc>
          <w:tcPr>
            <w:tcW w:w="2344" w:type="dxa"/>
            <w:vAlign w:val="center"/>
          </w:tcPr>
          <w:p>
            <w:pPr>
              <w:jc w:val="center"/>
              <w:rPr>
                <w:rFonts w:hAnsi="宋体"/>
                <w:color w:val="FF0000"/>
                <w:sz w:val="22"/>
                <w:szCs w:val="13"/>
              </w:rPr>
            </w:pPr>
            <w:r>
              <w:rPr>
                <w:rFonts w:hint="eastAsia" w:hAnsi="宋体"/>
                <w:sz w:val="21"/>
                <w:szCs w:val="11"/>
              </w:rPr>
              <w:t>此项含原诱蝇笼维护费用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455" w:hRule="atLeast"/>
        </w:trPr>
        <w:tc>
          <w:tcPr>
            <w:tcW w:w="6681" w:type="dxa"/>
            <w:gridSpan w:val="2"/>
            <w:vAlign w:val="center"/>
          </w:tcPr>
          <w:p>
            <w:pPr>
              <w:jc w:val="center"/>
              <w:rPr>
                <w:rFonts w:hAnsi="宋体"/>
                <w:sz w:val="24"/>
                <w:szCs w:val="15"/>
              </w:rPr>
            </w:pPr>
            <w:r>
              <w:rPr>
                <w:rFonts w:hint="eastAsia" w:hAnsi="宋体"/>
                <w:sz w:val="24"/>
                <w:szCs w:val="15"/>
              </w:rPr>
              <w:t>合   计（元）</w:t>
            </w:r>
          </w:p>
        </w:tc>
        <w:tc>
          <w:tcPr>
            <w:tcW w:w="7539" w:type="dxa"/>
            <w:gridSpan w:val="5"/>
            <w:vAlign w:val="center"/>
          </w:tcPr>
          <w:p>
            <w:pPr>
              <w:jc w:val="left"/>
              <w:rPr>
                <w:rFonts w:hAnsi="宋体"/>
                <w:sz w:val="24"/>
                <w:szCs w:val="15"/>
              </w:rPr>
            </w:pPr>
            <w:r>
              <w:rPr>
                <w:rFonts w:hint="eastAsia" w:hAnsi="宋体"/>
                <w:sz w:val="24"/>
                <w:szCs w:val="15"/>
              </w:rPr>
              <w:t xml:space="preserve">  </w:t>
            </w:r>
            <w:r>
              <w:rPr>
                <w:rFonts w:hint="eastAsia" w:hAnsi="宋体"/>
                <w:sz w:val="24"/>
                <w:szCs w:val="15"/>
                <w:u w:val="single"/>
              </w:rPr>
              <w:t xml:space="preserve">                                   </w:t>
            </w:r>
            <w:r>
              <w:rPr>
                <w:rFonts w:hint="eastAsia" w:hAnsi="宋体"/>
                <w:sz w:val="24"/>
                <w:szCs w:val="15"/>
              </w:rPr>
              <w:t xml:space="preserve"> 元整（</w:t>
            </w:r>
            <w:r>
              <w:rPr>
                <w:rFonts w:ascii="Arial" w:hAnsi="Arial" w:cs="Arial"/>
                <w:sz w:val="24"/>
                <w:szCs w:val="15"/>
              </w:rPr>
              <w:t>¥</w:t>
            </w:r>
            <w:r>
              <w:rPr>
                <w:rFonts w:hint="eastAsia" w:ascii="Arial" w:hAnsi="Arial" w:cs="Arial"/>
                <w:sz w:val="24"/>
                <w:szCs w:val="15"/>
              </w:rPr>
              <w:t>：</w:t>
            </w:r>
            <w:r>
              <w:rPr>
                <w:rFonts w:hint="eastAsia" w:ascii="Arial" w:hAnsi="Arial" w:cs="Arial"/>
                <w:sz w:val="24"/>
                <w:szCs w:val="15"/>
                <w:u w:val="single"/>
              </w:rPr>
              <w:t xml:space="preserve">           元</w:t>
            </w:r>
            <w:r>
              <w:rPr>
                <w:rFonts w:hint="eastAsia" w:hAnsi="宋体"/>
                <w:sz w:val="24"/>
                <w:szCs w:val="15"/>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930" w:hRule="atLeast"/>
        </w:trPr>
        <w:tc>
          <w:tcPr>
            <w:tcW w:w="14220" w:type="dxa"/>
            <w:gridSpan w:val="7"/>
            <w:vAlign w:val="center"/>
          </w:tcPr>
          <w:p>
            <w:pPr>
              <w:pStyle w:val="18"/>
              <w:rPr>
                <w:rFonts w:ascii="宋体" w:hAnsi="宋体" w:cs="宋体"/>
                <w:sz w:val="24"/>
                <w:szCs w:val="24"/>
              </w:rPr>
            </w:pPr>
            <w:r>
              <w:rPr>
                <w:rFonts w:hint="eastAsia" w:ascii="宋体" w:hAnsi="宋体" w:cs="宋体"/>
                <w:sz w:val="24"/>
                <w:szCs w:val="24"/>
              </w:rPr>
              <w:t>本表转至</w:t>
            </w:r>
            <w:r>
              <w:rPr>
                <w:rFonts w:hint="eastAsia" w:ascii="宋体" w:hAnsi="宋体" w:cs="宋体"/>
                <w:sz w:val="24"/>
                <w:szCs w:val="24"/>
                <w:lang w:eastAsia="zh-CN"/>
              </w:rPr>
              <w:t>温岭市新河镇2024年度病媒生物防制专业化服务项目采购</w:t>
            </w:r>
            <w:r>
              <w:rPr>
                <w:rFonts w:hint="eastAsia" w:ascii="宋体" w:hAnsi="宋体" w:cs="宋体"/>
                <w:sz w:val="24"/>
                <w:szCs w:val="24"/>
              </w:rPr>
              <w:t>投标总报价</w:t>
            </w:r>
          </w:p>
          <w:p>
            <w:pPr>
              <w:pStyle w:val="18"/>
            </w:pPr>
            <w:r>
              <w:rPr>
                <w:rFonts w:hint="eastAsia" w:ascii="宋体" w:hAnsi="宋体" w:cs="宋体"/>
                <w:kern w:val="2"/>
                <w:sz w:val="24"/>
                <w:szCs w:val="24"/>
              </w:rPr>
              <w:t>注：人民币大写数字：壹、贰、叁、肆、伍、陆、柒、捌、玖、拾、零、佰、仟、万，请规范书写</w:t>
            </w:r>
          </w:p>
        </w:tc>
      </w:tr>
    </w:tbl>
    <w:p>
      <w:pPr>
        <w:pStyle w:val="11"/>
        <w:spacing w:line="460" w:lineRule="atLeast"/>
        <w:rPr>
          <w:rFonts w:hAnsi="宋体"/>
          <w:b/>
          <w:color w:val="000000"/>
          <w:sz w:val="24"/>
          <w:szCs w:val="24"/>
        </w:rPr>
      </w:pPr>
    </w:p>
    <w:p>
      <w:pPr>
        <w:pStyle w:val="11"/>
        <w:spacing w:line="460" w:lineRule="atLeast"/>
        <w:rPr>
          <w:rFonts w:hAnsi="宋体"/>
          <w:b/>
          <w:color w:val="000000"/>
          <w:sz w:val="24"/>
          <w:szCs w:val="24"/>
        </w:rPr>
      </w:pPr>
    </w:p>
    <w:p>
      <w:pPr>
        <w:spacing w:line="380" w:lineRule="exact"/>
        <w:ind w:firstLine="480"/>
        <w:jc w:val="center"/>
        <w:rPr>
          <w:sz w:val="18"/>
          <w:szCs w:val="18"/>
        </w:rPr>
      </w:pPr>
      <w:r>
        <w:rPr>
          <w:rFonts w:hint="eastAsia"/>
          <w:sz w:val="18"/>
          <w:szCs w:val="18"/>
        </w:rPr>
        <w:t xml:space="preserve">                                                                                                                                  </w:t>
      </w:r>
    </w:p>
    <w:p>
      <w:pPr>
        <w:spacing w:line="380" w:lineRule="exact"/>
        <w:ind w:firstLine="480"/>
        <w:jc w:val="center"/>
        <w:rPr>
          <w:sz w:val="18"/>
          <w:szCs w:val="18"/>
        </w:rPr>
      </w:pPr>
    </w:p>
    <w:p>
      <w:pPr>
        <w:spacing w:line="380" w:lineRule="exact"/>
        <w:ind w:firstLine="480"/>
        <w:jc w:val="center"/>
        <w:rPr>
          <w:sz w:val="18"/>
          <w:szCs w:val="18"/>
        </w:rPr>
      </w:pPr>
    </w:p>
    <w:p>
      <w:pPr>
        <w:spacing w:line="380" w:lineRule="exact"/>
        <w:ind w:firstLine="480"/>
        <w:jc w:val="center"/>
        <w:rPr>
          <w:sz w:val="18"/>
          <w:szCs w:val="18"/>
        </w:rPr>
      </w:pPr>
    </w:p>
    <w:p>
      <w:pPr>
        <w:spacing w:line="380" w:lineRule="exact"/>
        <w:ind w:firstLine="480"/>
        <w:jc w:val="center"/>
        <w:rPr>
          <w:sz w:val="18"/>
          <w:szCs w:val="18"/>
        </w:rPr>
      </w:pPr>
    </w:p>
    <w:p>
      <w:pPr>
        <w:spacing w:line="380" w:lineRule="exact"/>
        <w:ind w:firstLine="480"/>
        <w:jc w:val="center"/>
        <w:rPr>
          <w:sz w:val="18"/>
          <w:szCs w:val="18"/>
        </w:rPr>
      </w:pPr>
    </w:p>
    <w:p>
      <w:pPr>
        <w:spacing w:line="380" w:lineRule="exact"/>
        <w:ind w:firstLine="480"/>
        <w:jc w:val="center"/>
        <w:rPr>
          <w:sz w:val="18"/>
          <w:szCs w:val="18"/>
        </w:rPr>
      </w:pPr>
    </w:p>
    <w:p>
      <w:pPr>
        <w:spacing w:line="380" w:lineRule="exact"/>
        <w:ind w:firstLine="480"/>
        <w:jc w:val="center"/>
        <w:rPr>
          <w:sz w:val="18"/>
          <w:szCs w:val="18"/>
        </w:rPr>
      </w:pPr>
    </w:p>
    <w:p>
      <w:pPr>
        <w:spacing w:line="380" w:lineRule="exact"/>
        <w:ind w:firstLine="480"/>
        <w:jc w:val="center"/>
        <w:rPr>
          <w:sz w:val="18"/>
          <w:szCs w:val="18"/>
        </w:rPr>
      </w:pPr>
    </w:p>
    <w:p>
      <w:pPr>
        <w:spacing w:line="380" w:lineRule="exact"/>
        <w:ind w:firstLine="480"/>
        <w:jc w:val="center"/>
      </w:pPr>
      <w:r>
        <w:rPr>
          <w:rFonts w:hint="eastAsia"/>
          <w:sz w:val="18"/>
          <w:szCs w:val="18"/>
        </w:rPr>
        <w:t xml:space="preserve">                                                                            </w:t>
      </w:r>
      <w:r>
        <w:rPr>
          <w:rFonts w:hint="eastAsia"/>
        </w:rPr>
        <w:t xml:space="preserve">                                                                                  </w:t>
      </w:r>
    </w:p>
    <w:p>
      <w:pPr>
        <w:spacing w:line="380" w:lineRule="exact"/>
        <w:jc w:val="center"/>
      </w:pPr>
      <w:r>
        <w:rPr>
          <w:rFonts w:hint="eastAsia"/>
        </w:rPr>
        <w:t xml:space="preserve">                                                   </w:t>
      </w:r>
      <w:r>
        <w:rPr>
          <w:rFonts w:hint="eastAsia"/>
          <w:lang w:val="en-US" w:eastAsia="zh-CN"/>
        </w:rPr>
        <w:t xml:space="preserve">       </w:t>
      </w:r>
      <w:r>
        <w:rPr>
          <w:rFonts w:hint="eastAsia"/>
        </w:rPr>
        <w:t>投标供应商（盖章）：</w:t>
      </w:r>
    </w:p>
    <w:p>
      <w:pPr>
        <w:spacing w:line="380" w:lineRule="exact"/>
        <w:ind w:firstLine="480"/>
        <w:jc w:val="center"/>
      </w:pPr>
      <w:r>
        <w:rPr>
          <w:rFonts w:hint="eastAsia"/>
        </w:rPr>
        <w:t xml:space="preserve">              法定代表人或委托代理人：（签名或盖章）</w:t>
      </w:r>
    </w:p>
    <w:p>
      <w:pPr>
        <w:spacing w:line="380" w:lineRule="exact"/>
        <w:ind w:firstLine="688" w:firstLineChars="328"/>
        <w:jc w:val="right"/>
        <w:rPr>
          <w:sz w:val="20"/>
        </w:rPr>
      </w:pPr>
      <w:r>
        <w:rPr>
          <w:rFonts w:hint="eastAsia"/>
        </w:rPr>
        <w:t>年  月   日</w:t>
      </w:r>
    </w:p>
    <w:p>
      <w:pPr>
        <w:spacing w:line="380" w:lineRule="exact"/>
        <w:ind w:firstLine="480"/>
        <w:rPr>
          <w:sz w:val="18"/>
          <w:szCs w:val="18"/>
        </w:rPr>
      </w:pPr>
      <w:r>
        <w:rPr>
          <w:rFonts w:hint="eastAsia" w:ascii="新宋体" w:hAnsi="新宋体" w:eastAsia="新宋体"/>
          <w:sz w:val="18"/>
          <w:szCs w:val="18"/>
        </w:rPr>
        <w:t>注：</w:t>
      </w:r>
      <w:r>
        <w:rPr>
          <w:rFonts w:hint="eastAsia"/>
          <w:sz w:val="18"/>
          <w:szCs w:val="18"/>
        </w:rPr>
        <w:t>（1）</w:t>
      </w:r>
      <w:r>
        <w:rPr>
          <w:rFonts w:hint="eastAsia"/>
          <w:sz w:val="18"/>
          <w:szCs w:val="18"/>
          <w:u w:val="single"/>
        </w:rPr>
        <w:t>本表所提供数量依据均为预估值，结算时按实调整。</w:t>
      </w:r>
      <w:r>
        <w:rPr>
          <w:rFonts w:hint="eastAsia"/>
          <w:sz w:val="18"/>
          <w:szCs w:val="18"/>
        </w:rPr>
        <w:t xml:space="preserve"> </w:t>
      </w:r>
    </w:p>
    <w:p>
      <w:pPr>
        <w:spacing w:line="380" w:lineRule="exact"/>
        <w:ind w:firstLine="480"/>
        <w:rPr>
          <w:rFonts w:hAnsi="宋体" w:cs="宋体"/>
          <w:b/>
          <w:color w:val="000000"/>
          <w:sz w:val="24"/>
        </w:rPr>
        <w:sectPr>
          <w:pgSz w:w="16840" w:h="11915" w:orient="landscape"/>
          <w:pgMar w:top="1418" w:right="1134" w:bottom="1418" w:left="1134" w:header="851" w:footer="1304" w:gutter="0"/>
          <w:pgNumType w:fmt="numberInDash"/>
          <w:cols w:space="720" w:num="1"/>
          <w:docGrid w:type="linesAndChars" w:linePitch="312" w:charSpace="0"/>
        </w:sectPr>
      </w:pPr>
      <w:r>
        <w:rPr>
          <w:rFonts w:hint="eastAsia"/>
          <w:sz w:val="18"/>
          <w:szCs w:val="18"/>
        </w:rPr>
        <w:t>（2）本表可根据实际自行扩展。</w:t>
      </w:r>
    </w:p>
    <w:p>
      <w:pPr>
        <w:pStyle w:val="55"/>
        <w:widowControl w:val="0"/>
        <w:snapToGrid w:val="0"/>
        <w:spacing w:line="500" w:lineRule="exact"/>
        <w:rPr>
          <w:rFonts w:hint="default" w:ascii="方正小标宋简体" w:hAnsi="方正小标宋简体" w:eastAsia="方正小标宋简体" w:cs="方正小标宋简体"/>
          <w:color w:val="000000"/>
          <w:sz w:val="20"/>
        </w:rPr>
      </w:pPr>
      <w:r>
        <w:rPr>
          <w:rFonts w:ascii="方正小标宋简体" w:hAnsi="方正小标宋简体" w:eastAsia="方正小标宋简体" w:cs="方正小标宋简体"/>
          <w:color w:val="000000"/>
          <w:sz w:val="20"/>
        </w:rPr>
        <w:t>附件：政府采购活动现场确认声明书</w:t>
      </w:r>
    </w:p>
    <w:p>
      <w:pPr>
        <w:pStyle w:val="55"/>
        <w:widowControl w:val="0"/>
        <w:snapToGrid w:val="0"/>
        <w:spacing w:line="500" w:lineRule="exact"/>
        <w:jc w:val="center"/>
        <w:rPr>
          <w:rFonts w:hint="default" w:ascii="方正小标宋简体" w:hAnsi="方正小标宋简体" w:eastAsia="方正小标宋简体" w:cs="方正小标宋简体"/>
          <w:color w:val="000000"/>
          <w:sz w:val="36"/>
          <w:szCs w:val="36"/>
        </w:rPr>
      </w:pPr>
      <w:r>
        <w:rPr>
          <w:rFonts w:ascii="方正小标宋简体" w:hAnsi="方正小标宋简体" w:eastAsia="方正小标宋简体" w:cs="方正小标宋简体"/>
          <w:color w:val="000000"/>
          <w:sz w:val="36"/>
          <w:szCs w:val="36"/>
        </w:rPr>
        <w:t>政府采购活动现场确认声明书</w:t>
      </w:r>
    </w:p>
    <w:p>
      <w:pPr>
        <w:pStyle w:val="55"/>
        <w:widowControl w:val="0"/>
        <w:snapToGrid w:val="0"/>
        <w:spacing w:line="500" w:lineRule="exact"/>
        <w:jc w:val="both"/>
        <w:rPr>
          <w:rFonts w:hint="default" w:ascii="仿宋" w:hAnsi="仿宋"/>
          <w:color w:val="000000"/>
          <w:kern w:val="0"/>
          <w:sz w:val="28"/>
        </w:rPr>
      </w:pPr>
    </w:p>
    <w:p>
      <w:pPr>
        <w:pStyle w:val="55"/>
        <w:widowControl w:val="0"/>
        <w:snapToGrid w:val="0"/>
        <w:spacing w:line="400" w:lineRule="exact"/>
        <w:jc w:val="both"/>
        <w:rPr>
          <w:rFonts w:hint="default" w:ascii="仿宋" w:hAnsi="仿宋"/>
          <w:b/>
          <w:color w:val="000000"/>
          <w:sz w:val="28"/>
          <w:szCs w:val="21"/>
        </w:rPr>
      </w:pPr>
      <w:r>
        <w:rPr>
          <w:rFonts w:ascii="仿宋" w:hAnsi="仿宋"/>
          <w:color w:val="000000"/>
          <w:kern w:val="0"/>
          <w:sz w:val="28"/>
        </w:rPr>
        <w:t xml:space="preserve"> </w:t>
      </w:r>
      <w:r>
        <w:rPr>
          <w:rFonts w:ascii="仿宋" w:hAnsi="仿宋"/>
          <w:color w:val="000000"/>
          <w:kern w:val="0"/>
          <w:sz w:val="28"/>
          <w:u w:val="single"/>
        </w:rPr>
        <w:t xml:space="preserve">建经投资咨询有限公司 </w:t>
      </w:r>
      <w:r>
        <w:rPr>
          <w:rFonts w:ascii="仿宋" w:hAnsi="仿宋"/>
          <w:color w:val="000000"/>
          <w:kern w:val="0"/>
          <w:sz w:val="28"/>
          <w:szCs w:val="21"/>
        </w:rPr>
        <w:t>：</w:t>
      </w:r>
    </w:p>
    <w:p>
      <w:pPr>
        <w:pStyle w:val="55"/>
        <w:widowControl w:val="0"/>
        <w:snapToGrid w:val="0"/>
        <w:spacing w:line="400" w:lineRule="exact"/>
        <w:ind w:firstLine="584" w:firstLineChars="200"/>
        <w:jc w:val="both"/>
        <w:rPr>
          <w:rFonts w:hint="default" w:ascii="仿宋" w:hAnsi="仿宋"/>
          <w:color w:val="000000"/>
          <w:spacing w:val="6"/>
          <w:sz w:val="28"/>
          <w:szCs w:val="21"/>
        </w:rPr>
      </w:pPr>
      <w:r>
        <w:rPr>
          <w:rFonts w:ascii="仿宋" w:hAnsi="仿宋"/>
          <w:color w:val="000000"/>
          <w:spacing w:val="6"/>
          <w:sz w:val="28"/>
          <w:szCs w:val="21"/>
        </w:rPr>
        <w:t>本人经由</w:t>
      </w:r>
      <w:r>
        <w:rPr>
          <w:rFonts w:ascii="仿宋" w:hAnsi="仿宋"/>
          <w:color w:val="000000"/>
          <w:spacing w:val="6"/>
          <w:sz w:val="28"/>
          <w:szCs w:val="21"/>
          <w:u w:val="single"/>
        </w:rPr>
        <w:t xml:space="preserve">               （单位）</w:t>
      </w:r>
      <w:r>
        <w:rPr>
          <w:rFonts w:ascii="仿宋" w:hAnsi="仿宋"/>
          <w:color w:val="000000"/>
          <w:spacing w:val="6"/>
          <w:sz w:val="28"/>
          <w:szCs w:val="21"/>
        </w:rPr>
        <w:t>法人代表（负责人）</w:t>
      </w:r>
      <w:r>
        <w:rPr>
          <w:rFonts w:ascii="仿宋" w:hAnsi="仿宋"/>
          <w:color w:val="000000"/>
          <w:spacing w:val="6"/>
          <w:sz w:val="28"/>
          <w:szCs w:val="21"/>
          <w:u w:val="single"/>
        </w:rPr>
        <w:t xml:space="preserve">        （姓名）</w:t>
      </w:r>
      <w:r>
        <w:rPr>
          <w:rFonts w:ascii="仿宋" w:hAnsi="仿宋"/>
          <w:color w:val="000000"/>
          <w:spacing w:val="6"/>
          <w:sz w:val="28"/>
          <w:szCs w:val="21"/>
        </w:rPr>
        <w:t>合法授权参加</w:t>
      </w:r>
      <w:r>
        <w:rPr>
          <w:rFonts w:ascii="仿宋" w:hAnsi="仿宋"/>
          <w:color w:val="000000"/>
          <w:spacing w:val="6"/>
          <w:sz w:val="28"/>
          <w:szCs w:val="21"/>
          <w:u w:val="single"/>
        </w:rPr>
        <w:t xml:space="preserve"> </w:t>
      </w:r>
      <w:r>
        <w:rPr>
          <w:rFonts w:hint="eastAsia" w:ascii="仿宋" w:hAnsi="仿宋"/>
          <w:color w:val="000000"/>
          <w:spacing w:val="6"/>
          <w:sz w:val="28"/>
          <w:szCs w:val="21"/>
          <w:u w:val="single"/>
          <w:lang w:eastAsia="zh-CN"/>
        </w:rPr>
        <w:t>温岭市新河镇2024年度病媒生物防制专业化服务项目采购</w:t>
      </w:r>
      <w:r>
        <w:rPr>
          <w:rFonts w:ascii="仿宋" w:hAnsi="仿宋"/>
          <w:color w:val="000000"/>
          <w:spacing w:val="6"/>
          <w:sz w:val="28"/>
          <w:szCs w:val="21"/>
          <w:u w:val="single"/>
        </w:rPr>
        <w:t xml:space="preserve"> </w:t>
      </w:r>
      <w:r>
        <w:rPr>
          <w:rFonts w:ascii="仿宋" w:hAnsi="仿宋"/>
          <w:color w:val="000000"/>
          <w:spacing w:val="6"/>
          <w:sz w:val="28"/>
          <w:szCs w:val="21"/>
        </w:rPr>
        <w:t>项目（编号：</w:t>
      </w:r>
      <w:r>
        <w:rPr>
          <w:rFonts w:ascii="仿宋" w:hAnsi="仿宋"/>
          <w:color w:val="000000"/>
          <w:spacing w:val="6"/>
          <w:sz w:val="28"/>
          <w:szCs w:val="21"/>
          <w:u w:val="single"/>
        </w:rPr>
        <w:t xml:space="preserve"> </w:t>
      </w:r>
      <w:r>
        <w:rPr>
          <w:rFonts w:hint="eastAsia" w:ascii="仿宋" w:hAnsi="仿宋"/>
          <w:color w:val="000000"/>
          <w:spacing w:val="6"/>
          <w:sz w:val="28"/>
          <w:szCs w:val="21"/>
          <w:u w:val="single"/>
          <w:lang w:eastAsia="zh-CN"/>
        </w:rPr>
        <w:t>JJWL24031981</w:t>
      </w:r>
      <w:r>
        <w:rPr>
          <w:rFonts w:ascii="仿宋" w:hAnsi="仿宋"/>
          <w:color w:val="000000"/>
          <w:spacing w:val="6"/>
          <w:sz w:val="28"/>
          <w:szCs w:val="21"/>
          <w:u w:val="single"/>
        </w:rPr>
        <w:t xml:space="preserve">  </w:t>
      </w:r>
      <w:r>
        <w:rPr>
          <w:rFonts w:ascii="仿宋" w:hAnsi="仿宋"/>
          <w:color w:val="000000"/>
          <w:spacing w:val="6"/>
          <w:sz w:val="28"/>
          <w:szCs w:val="21"/>
        </w:rPr>
        <w:t xml:space="preserve">）政府采购活动，经与本单位法人代表（负责人）联系确认，现就有关公平竞争事项郑重声明如下： </w:t>
      </w:r>
    </w:p>
    <w:p>
      <w:pPr>
        <w:pStyle w:val="56"/>
        <w:widowControl/>
        <w:numPr>
          <w:ilvl w:val="0"/>
          <w:numId w:val="11"/>
        </w:numPr>
        <w:snapToGrid w:val="0"/>
        <w:spacing w:line="400" w:lineRule="exact"/>
        <w:ind w:firstLine="529" w:firstLineChars="189"/>
        <w:rPr>
          <w:rFonts w:hint="default" w:ascii="仿宋" w:hAnsi="仿宋"/>
          <w:color w:val="000000"/>
          <w:kern w:val="0"/>
          <w:sz w:val="28"/>
          <w:szCs w:val="21"/>
        </w:rPr>
      </w:pPr>
      <w:r>
        <w:rPr>
          <w:rFonts w:ascii="仿宋" w:hAnsi="仿宋"/>
          <w:color w:val="000000"/>
          <w:kern w:val="0"/>
          <w:sz w:val="28"/>
          <w:szCs w:val="21"/>
        </w:rPr>
        <w:t xml:space="preserve">本单位与采购人之间 </w:t>
      </w:r>
      <w:r>
        <w:rPr>
          <w:rFonts w:ascii="宋体" w:hAnsi="宋体" w:cs="宋体"/>
          <w:color w:val="000000"/>
          <w:kern w:val="0"/>
          <w:sz w:val="28"/>
          <w:szCs w:val="21"/>
        </w:rPr>
        <w:t>□</w:t>
      </w:r>
      <w:r>
        <w:rPr>
          <w:rFonts w:ascii="仿宋" w:hAnsi="仿宋"/>
          <w:color w:val="000000"/>
          <w:kern w:val="0"/>
          <w:sz w:val="28"/>
          <w:szCs w:val="21"/>
        </w:rPr>
        <w:t xml:space="preserve">不存在利害关系 </w:t>
      </w:r>
      <w:r>
        <w:rPr>
          <w:rFonts w:ascii="宋体" w:hAnsi="宋体" w:cs="宋体"/>
          <w:color w:val="000000"/>
          <w:kern w:val="0"/>
          <w:sz w:val="28"/>
          <w:szCs w:val="21"/>
        </w:rPr>
        <w:t>□</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56"/>
        <w:widowControl/>
        <w:snapToGrid w:val="0"/>
        <w:spacing w:line="400" w:lineRule="exact"/>
        <w:rPr>
          <w:rFonts w:hint="default" w:ascii="仿宋" w:hAnsi="仿宋"/>
          <w:color w:val="000000"/>
          <w:kern w:val="0"/>
          <w:sz w:val="28"/>
          <w:szCs w:val="21"/>
        </w:rPr>
      </w:pPr>
      <w:r>
        <w:rPr>
          <w:rFonts w:ascii="仿宋" w:hAnsi="仿宋"/>
          <w:color w:val="000000"/>
          <w:kern w:val="0"/>
          <w:sz w:val="28"/>
          <w:szCs w:val="21"/>
        </w:rPr>
        <w:t xml:space="preserve">  A.投资关系    B.行政隶属关系    C.业务指导关系</w:t>
      </w:r>
    </w:p>
    <w:p>
      <w:pPr>
        <w:pStyle w:val="56"/>
        <w:widowControl/>
        <w:snapToGrid w:val="0"/>
        <w:spacing w:line="400" w:lineRule="exact"/>
        <w:rPr>
          <w:rFonts w:hint="default" w:ascii="仿宋" w:hAnsi="仿宋"/>
          <w:color w:val="000000"/>
          <w:kern w:val="0"/>
          <w:sz w:val="28"/>
          <w:szCs w:val="21"/>
        </w:rPr>
      </w:pPr>
      <w:r>
        <w:rPr>
          <w:rFonts w:ascii="仿宋" w:hAnsi="仿宋"/>
          <w:color w:val="000000"/>
          <w:kern w:val="0"/>
          <w:sz w:val="28"/>
          <w:szCs w:val="21"/>
        </w:rPr>
        <w:t xml:space="preserve">  D.其他可能</w:t>
      </w:r>
      <w:r>
        <w:rPr>
          <w:rFonts w:ascii="仿宋" w:hAnsi="仿宋"/>
          <w:color w:val="000000"/>
          <w:sz w:val="28"/>
          <w:szCs w:val="21"/>
        </w:rPr>
        <w:t>影响采购公正的</w:t>
      </w:r>
      <w:r>
        <w:rPr>
          <w:rFonts w:ascii="仿宋" w:hAnsi="仿宋"/>
          <w:color w:val="000000"/>
          <w:kern w:val="0"/>
          <w:sz w:val="28"/>
          <w:szCs w:val="21"/>
        </w:rPr>
        <w:t>利害关系</w:t>
      </w:r>
      <w:r>
        <w:rPr>
          <w:rFonts w:ascii="仿宋" w:hAnsi="仿宋"/>
          <w:color w:val="000000"/>
          <w:kern w:val="0"/>
          <w:sz w:val="28"/>
          <w:szCs w:val="21"/>
          <w:u w:val="single"/>
        </w:rPr>
        <w:t xml:space="preserve">（如有，请如实说明）                 </w:t>
      </w:r>
      <w:r>
        <w:rPr>
          <w:rFonts w:ascii="仿宋" w:hAnsi="仿宋"/>
          <w:color w:val="000000"/>
          <w:kern w:val="0"/>
          <w:sz w:val="28"/>
          <w:szCs w:val="21"/>
        </w:rPr>
        <w:t>。</w:t>
      </w:r>
    </w:p>
    <w:p>
      <w:pPr>
        <w:pStyle w:val="56"/>
        <w:widowControl/>
        <w:snapToGrid w:val="0"/>
        <w:spacing w:line="400" w:lineRule="exact"/>
        <w:rPr>
          <w:rFonts w:hint="default" w:ascii="仿宋" w:hAnsi="仿宋"/>
          <w:color w:val="000000"/>
          <w:kern w:val="0"/>
          <w:sz w:val="28"/>
          <w:szCs w:val="21"/>
        </w:rPr>
      </w:pPr>
      <w:r>
        <w:rPr>
          <w:rFonts w:ascii="仿宋" w:hAnsi="仿宋"/>
          <w:color w:val="000000"/>
          <w:spacing w:val="6"/>
          <w:sz w:val="28"/>
          <w:szCs w:val="21"/>
        </w:rPr>
        <w:t xml:space="preserve">  二、</w:t>
      </w:r>
      <w:r>
        <w:rPr>
          <w:rFonts w:ascii="仿宋" w:hAnsi="仿宋"/>
          <w:color w:val="000000"/>
          <w:kern w:val="0"/>
          <w:sz w:val="28"/>
          <w:szCs w:val="21"/>
        </w:rPr>
        <w:t xml:space="preserve">现已清楚知道参加本项目采购活动的其他所有供应商名称，本单位 </w:t>
      </w:r>
      <w:r>
        <w:rPr>
          <w:rFonts w:ascii="宋体" w:hAnsi="宋体" w:cs="宋体"/>
          <w:color w:val="000000"/>
          <w:kern w:val="0"/>
          <w:sz w:val="28"/>
          <w:szCs w:val="21"/>
        </w:rPr>
        <w:t>□与其他所有供应商之间均</w:t>
      </w:r>
      <w:r>
        <w:rPr>
          <w:rFonts w:ascii="仿宋" w:hAnsi="仿宋"/>
          <w:color w:val="000000"/>
          <w:kern w:val="0"/>
          <w:sz w:val="28"/>
          <w:szCs w:val="21"/>
        </w:rPr>
        <w:t xml:space="preserve">不存在利害关系 </w:t>
      </w:r>
      <w:r>
        <w:rPr>
          <w:rFonts w:ascii="宋体" w:hAnsi="宋体" w:cs="宋体"/>
          <w:color w:val="000000"/>
          <w:kern w:val="0"/>
          <w:sz w:val="28"/>
          <w:szCs w:val="21"/>
        </w:rPr>
        <w:t>□与</w:t>
      </w:r>
      <w:r>
        <w:rPr>
          <w:rFonts w:ascii="宋体" w:hAnsi="宋体" w:cs="宋体"/>
          <w:color w:val="000000"/>
          <w:kern w:val="0"/>
          <w:sz w:val="28"/>
          <w:szCs w:val="21"/>
          <w:u w:val="single"/>
        </w:rPr>
        <w:t xml:space="preserve">           （供应商名称）</w:t>
      </w:r>
      <w:r>
        <w:rPr>
          <w:rFonts w:ascii="宋体" w:hAnsi="宋体" w:cs="宋体"/>
          <w:color w:val="000000"/>
          <w:kern w:val="0"/>
          <w:sz w:val="28"/>
          <w:szCs w:val="21"/>
        </w:rPr>
        <w:t>之间</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55"/>
        <w:widowControl w:val="0"/>
        <w:snapToGrid w:val="0"/>
        <w:spacing w:line="400" w:lineRule="exact"/>
        <w:jc w:val="both"/>
        <w:rPr>
          <w:rFonts w:hint="default" w:ascii="仿宋" w:hAnsi="仿宋"/>
          <w:color w:val="000000"/>
          <w:kern w:val="0"/>
          <w:sz w:val="28"/>
          <w:szCs w:val="21"/>
        </w:rPr>
      </w:pPr>
      <w:r>
        <w:rPr>
          <w:rFonts w:ascii="仿宋" w:hAnsi="仿宋"/>
          <w:color w:val="000000"/>
          <w:kern w:val="0"/>
          <w:sz w:val="28"/>
          <w:szCs w:val="21"/>
        </w:rPr>
        <w:t xml:space="preserve">  A.法定代表人或负责人或实际控制人是同一人；</w:t>
      </w:r>
    </w:p>
    <w:p>
      <w:pPr>
        <w:pStyle w:val="55"/>
        <w:widowControl w:val="0"/>
        <w:snapToGrid w:val="0"/>
        <w:spacing w:line="400" w:lineRule="exact"/>
        <w:jc w:val="both"/>
        <w:rPr>
          <w:rFonts w:hint="default" w:ascii="仿宋" w:hAnsi="仿宋"/>
          <w:color w:val="000000"/>
          <w:spacing w:val="6"/>
          <w:sz w:val="28"/>
          <w:szCs w:val="21"/>
        </w:rPr>
      </w:pPr>
      <w:r>
        <w:rPr>
          <w:rFonts w:ascii="仿宋" w:hAnsi="仿宋"/>
          <w:color w:val="000000"/>
          <w:kern w:val="0"/>
          <w:sz w:val="28"/>
          <w:szCs w:val="21"/>
        </w:rPr>
        <w:t xml:space="preserve">  B.法定代表人或负责人或实际控制人是夫妻关系；</w:t>
      </w:r>
    </w:p>
    <w:p>
      <w:pPr>
        <w:pStyle w:val="55"/>
        <w:widowControl w:val="0"/>
        <w:snapToGrid w:val="0"/>
        <w:spacing w:line="400" w:lineRule="exact"/>
        <w:jc w:val="both"/>
        <w:rPr>
          <w:rFonts w:hint="default" w:ascii="仿宋" w:hAnsi="仿宋"/>
          <w:color w:val="000000"/>
          <w:spacing w:val="6"/>
          <w:sz w:val="28"/>
          <w:szCs w:val="21"/>
        </w:rPr>
      </w:pPr>
      <w:r>
        <w:rPr>
          <w:rFonts w:ascii="仿宋" w:hAnsi="仿宋"/>
          <w:color w:val="000000"/>
          <w:kern w:val="0"/>
          <w:sz w:val="28"/>
          <w:szCs w:val="21"/>
        </w:rPr>
        <w:t xml:space="preserve">  C.法定代表人或负责人或实际控制人是直系血亲关系；</w:t>
      </w:r>
    </w:p>
    <w:p>
      <w:pPr>
        <w:pStyle w:val="55"/>
        <w:widowControl w:val="0"/>
        <w:snapToGrid w:val="0"/>
        <w:spacing w:line="400" w:lineRule="exact"/>
        <w:jc w:val="both"/>
        <w:rPr>
          <w:rFonts w:hint="default" w:ascii="仿宋" w:hAnsi="仿宋"/>
          <w:color w:val="000000"/>
          <w:spacing w:val="6"/>
          <w:sz w:val="28"/>
          <w:szCs w:val="21"/>
        </w:rPr>
      </w:pPr>
      <w:r>
        <w:rPr>
          <w:rFonts w:ascii="仿宋" w:hAnsi="仿宋"/>
          <w:color w:val="000000"/>
          <w:kern w:val="0"/>
          <w:sz w:val="28"/>
          <w:szCs w:val="21"/>
        </w:rPr>
        <w:t xml:space="preserve">  D.法定代表人或负责人或实际控制人存在三代以内旁系血亲关系；</w:t>
      </w:r>
    </w:p>
    <w:p>
      <w:pPr>
        <w:pStyle w:val="55"/>
        <w:widowControl w:val="0"/>
        <w:snapToGrid w:val="0"/>
        <w:spacing w:line="400" w:lineRule="exact"/>
        <w:jc w:val="both"/>
        <w:rPr>
          <w:rFonts w:hint="default" w:ascii="仿宋" w:hAnsi="仿宋"/>
          <w:color w:val="000000"/>
          <w:kern w:val="0"/>
          <w:sz w:val="28"/>
          <w:szCs w:val="21"/>
        </w:rPr>
      </w:pPr>
      <w:r>
        <w:rPr>
          <w:rFonts w:ascii="仿宋" w:hAnsi="仿宋"/>
          <w:color w:val="000000"/>
          <w:kern w:val="0"/>
          <w:sz w:val="28"/>
          <w:szCs w:val="21"/>
        </w:rPr>
        <w:t xml:space="preserve">  E.法定代表人或负责人或实际控制人存在近姻亲关系；</w:t>
      </w:r>
    </w:p>
    <w:p>
      <w:pPr>
        <w:pStyle w:val="55"/>
        <w:widowControl w:val="0"/>
        <w:snapToGrid w:val="0"/>
        <w:spacing w:line="400" w:lineRule="exact"/>
        <w:jc w:val="both"/>
        <w:rPr>
          <w:rFonts w:hint="default" w:ascii="仿宋" w:hAnsi="仿宋"/>
          <w:color w:val="000000"/>
          <w:kern w:val="0"/>
          <w:sz w:val="28"/>
          <w:szCs w:val="21"/>
        </w:rPr>
      </w:pPr>
      <w:r>
        <w:rPr>
          <w:rFonts w:ascii="仿宋" w:hAnsi="仿宋"/>
          <w:color w:val="000000"/>
          <w:kern w:val="0"/>
          <w:sz w:val="28"/>
          <w:szCs w:val="21"/>
        </w:rPr>
        <w:t xml:space="preserve">  F.法定代表人或负责人或实际控制人存在股份控制或实际控制关系；</w:t>
      </w:r>
    </w:p>
    <w:p>
      <w:pPr>
        <w:pStyle w:val="55"/>
        <w:widowControl w:val="0"/>
        <w:snapToGrid w:val="0"/>
        <w:spacing w:line="400" w:lineRule="exact"/>
        <w:jc w:val="both"/>
        <w:outlineLvl w:val="0"/>
        <w:rPr>
          <w:rFonts w:hint="default" w:ascii="仿宋" w:hAnsi="仿宋"/>
          <w:color w:val="000000"/>
          <w:kern w:val="0"/>
          <w:sz w:val="28"/>
          <w:szCs w:val="21"/>
        </w:rPr>
      </w:pPr>
      <w:r>
        <w:rPr>
          <w:rFonts w:ascii="仿宋" w:hAnsi="仿宋"/>
          <w:color w:val="000000"/>
          <w:kern w:val="0"/>
          <w:sz w:val="28"/>
          <w:szCs w:val="21"/>
        </w:rPr>
        <w:t xml:space="preserve">  G.存在共同直接或间接投资设立子公司、联营企业和合营企业情况；</w:t>
      </w:r>
    </w:p>
    <w:p>
      <w:pPr>
        <w:pStyle w:val="55"/>
        <w:widowControl w:val="0"/>
        <w:snapToGrid w:val="0"/>
        <w:spacing w:line="400" w:lineRule="exact"/>
        <w:jc w:val="both"/>
        <w:rPr>
          <w:rFonts w:hint="default" w:ascii="仿宋" w:hAnsi="仿宋"/>
          <w:color w:val="000000"/>
          <w:sz w:val="28"/>
          <w:szCs w:val="21"/>
        </w:rPr>
      </w:pPr>
      <w:r>
        <w:rPr>
          <w:rFonts w:ascii="仿宋" w:hAnsi="仿宋"/>
          <w:color w:val="000000"/>
          <w:kern w:val="0"/>
          <w:sz w:val="28"/>
          <w:szCs w:val="21"/>
        </w:rPr>
        <w:t xml:space="preserve">  H.存在分级代理或代销关系、同一生产制造商关系、</w:t>
      </w:r>
      <w:r>
        <w:rPr>
          <w:rFonts w:ascii="仿宋" w:hAnsi="仿宋"/>
          <w:color w:val="000000"/>
          <w:sz w:val="28"/>
          <w:szCs w:val="21"/>
        </w:rPr>
        <w:t>管理关系、重要业务（占主营业务收入50%以上）或重要财务往来关系（如融资）等其他实质性控制关系；</w:t>
      </w:r>
    </w:p>
    <w:p>
      <w:pPr>
        <w:pStyle w:val="55"/>
        <w:widowControl w:val="0"/>
        <w:snapToGrid w:val="0"/>
        <w:spacing w:line="400" w:lineRule="exact"/>
        <w:jc w:val="both"/>
        <w:rPr>
          <w:rFonts w:hint="default" w:ascii="仿宋" w:hAnsi="仿宋"/>
          <w:color w:val="000000"/>
          <w:spacing w:val="6"/>
          <w:sz w:val="28"/>
          <w:szCs w:val="21"/>
        </w:rPr>
      </w:pPr>
      <w:r>
        <w:rPr>
          <w:rFonts w:ascii="仿宋" w:hAnsi="仿宋"/>
          <w:color w:val="000000"/>
          <w:sz w:val="28"/>
          <w:szCs w:val="21"/>
        </w:rPr>
        <w:t xml:space="preserve">  I</w:t>
      </w:r>
      <w:r>
        <w:rPr>
          <w:rFonts w:ascii="仿宋" w:hAnsi="仿宋"/>
          <w:color w:val="000000"/>
          <w:kern w:val="0"/>
          <w:sz w:val="28"/>
          <w:szCs w:val="21"/>
        </w:rPr>
        <w:t>.</w:t>
      </w:r>
      <w:r>
        <w:rPr>
          <w:rFonts w:ascii="仿宋" w:hAnsi="仿宋"/>
          <w:color w:val="000000"/>
          <w:sz w:val="28"/>
          <w:szCs w:val="21"/>
        </w:rPr>
        <w:t>其他利害关系情况</w:t>
      </w:r>
      <w:r>
        <w:rPr>
          <w:rFonts w:ascii="仿宋" w:hAnsi="仿宋"/>
          <w:color w:val="000000"/>
          <w:sz w:val="28"/>
          <w:szCs w:val="21"/>
          <w:u w:val="single"/>
        </w:rPr>
        <w:t xml:space="preserve">                              </w:t>
      </w:r>
      <w:r>
        <w:rPr>
          <w:rFonts w:ascii="仿宋" w:hAnsi="仿宋"/>
          <w:color w:val="000000"/>
          <w:kern w:val="0"/>
          <w:sz w:val="28"/>
          <w:szCs w:val="21"/>
        </w:rPr>
        <w:t>。</w:t>
      </w:r>
    </w:p>
    <w:p>
      <w:pPr>
        <w:pStyle w:val="56"/>
        <w:widowControl/>
        <w:numPr>
          <w:ilvl w:val="0"/>
          <w:numId w:val="12"/>
        </w:numPr>
        <w:snapToGrid w:val="0"/>
        <w:spacing w:line="400" w:lineRule="exact"/>
        <w:ind w:firstLine="529" w:firstLineChars="189"/>
        <w:rPr>
          <w:rFonts w:hint="default" w:ascii="仿宋" w:hAnsi="仿宋"/>
          <w:color w:val="000000"/>
          <w:kern w:val="0"/>
          <w:sz w:val="28"/>
          <w:szCs w:val="21"/>
        </w:rPr>
      </w:pPr>
      <w:r>
        <w:rPr>
          <w:rFonts w:ascii="仿宋" w:hAnsi="仿宋"/>
          <w:color w:val="000000"/>
          <w:sz w:val="28"/>
          <w:szCs w:val="21"/>
        </w:rPr>
        <w:t>现已清楚知道并</w:t>
      </w:r>
      <w:r>
        <w:rPr>
          <w:rFonts w:ascii="仿宋" w:hAnsi="仿宋"/>
          <w:color w:val="000000"/>
          <w:kern w:val="0"/>
          <w:sz w:val="28"/>
          <w:szCs w:val="21"/>
        </w:rPr>
        <w:t>严格遵守政府采购法律法规和现场纪律。</w:t>
      </w:r>
    </w:p>
    <w:p>
      <w:pPr>
        <w:pStyle w:val="56"/>
        <w:widowControl/>
        <w:numPr>
          <w:ilvl w:val="0"/>
          <w:numId w:val="12"/>
        </w:numPr>
        <w:snapToGrid w:val="0"/>
        <w:spacing w:line="400" w:lineRule="exact"/>
        <w:ind w:firstLine="529" w:firstLineChars="189"/>
        <w:rPr>
          <w:rFonts w:hint="default" w:ascii="仿宋" w:hAnsi="仿宋"/>
          <w:color w:val="000000"/>
          <w:kern w:val="0"/>
          <w:sz w:val="28"/>
          <w:szCs w:val="21"/>
        </w:rPr>
      </w:pPr>
      <w:r>
        <w:rPr>
          <w:rFonts w:ascii="仿宋" w:hAnsi="仿宋"/>
          <w:color w:val="000000"/>
          <w:kern w:val="0"/>
          <w:sz w:val="28"/>
          <w:szCs w:val="21"/>
        </w:rPr>
        <w:t>我发现</w:t>
      </w:r>
      <w:r>
        <w:rPr>
          <w:rFonts w:ascii="仿宋" w:hAnsi="仿宋"/>
          <w:color w:val="000000"/>
          <w:kern w:val="0"/>
          <w:sz w:val="28"/>
          <w:szCs w:val="21"/>
          <w:u w:val="single"/>
        </w:rPr>
        <w:t xml:space="preserve">                    </w:t>
      </w:r>
      <w:r>
        <w:rPr>
          <w:rFonts w:ascii="仿宋" w:hAnsi="仿宋"/>
          <w:color w:val="000000"/>
          <w:kern w:val="0"/>
          <w:sz w:val="28"/>
          <w:szCs w:val="21"/>
        </w:rPr>
        <w:t>供应商之间存在或可能存在上述第二条第</w:t>
      </w:r>
      <w:r>
        <w:rPr>
          <w:rFonts w:ascii="仿宋" w:hAnsi="仿宋"/>
          <w:color w:val="000000"/>
          <w:kern w:val="0"/>
          <w:sz w:val="28"/>
          <w:szCs w:val="21"/>
          <w:u w:val="single"/>
        </w:rPr>
        <w:t xml:space="preserve">      </w:t>
      </w:r>
      <w:r>
        <w:rPr>
          <w:rFonts w:hint="default" w:ascii="仿宋" w:hAnsi="仿宋"/>
          <w:color w:val="000000"/>
          <w:kern w:val="0"/>
          <w:sz w:val="28"/>
          <w:szCs w:val="21"/>
          <w:u w:val="single"/>
        </w:rPr>
        <w:t xml:space="preserve">  </w:t>
      </w:r>
      <w:r>
        <w:rPr>
          <w:rFonts w:ascii="仿宋" w:hAnsi="仿宋"/>
          <w:color w:val="000000"/>
          <w:kern w:val="0"/>
          <w:sz w:val="28"/>
          <w:szCs w:val="21"/>
        </w:rPr>
        <w:t>项利害关系。</w:t>
      </w:r>
    </w:p>
    <w:p>
      <w:pPr>
        <w:pStyle w:val="55"/>
        <w:widowControl w:val="0"/>
        <w:snapToGrid w:val="0"/>
        <w:ind w:firstLine="560" w:firstLineChars="200"/>
        <w:jc w:val="both"/>
        <w:rPr>
          <w:rFonts w:hint="default" w:ascii="仿宋" w:hAnsi="仿宋"/>
          <w:color w:val="000000"/>
          <w:sz w:val="28"/>
          <w:szCs w:val="21"/>
        </w:rPr>
      </w:pPr>
    </w:p>
    <w:p>
      <w:pPr>
        <w:pStyle w:val="55"/>
        <w:widowControl w:val="0"/>
        <w:snapToGrid w:val="0"/>
        <w:ind w:firstLine="560" w:firstLineChars="200"/>
        <w:jc w:val="both"/>
        <w:rPr>
          <w:rFonts w:hint="default" w:ascii="仿宋" w:hAnsi="仿宋"/>
          <w:color w:val="000000"/>
          <w:sz w:val="28"/>
          <w:szCs w:val="21"/>
        </w:rPr>
      </w:pPr>
      <w:r>
        <w:rPr>
          <w:rFonts w:ascii="仿宋" w:hAnsi="仿宋"/>
          <w:color w:val="000000"/>
          <w:sz w:val="28"/>
          <w:szCs w:val="21"/>
        </w:rPr>
        <w:t xml:space="preserve">                               （供应商代表签名）：</w:t>
      </w:r>
    </w:p>
    <w:p>
      <w:pPr>
        <w:pStyle w:val="55"/>
        <w:widowControl w:val="0"/>
        <w:snapToGrid w:val="0"/>
        <w:ind w:firstLine="560" w:firstLineChars="200"/>
        <w:jc w:val="both"/>
        <w:rPr>
          <w:rFonts w:hint="default" w:ascii="仿宋_GB2312" w:eastAsia="仿宋_GB2312"/>
          <w:b/>
          <w:sz w:val="24"/>
        </w:rPr>
      </w:pPr>
      <w:r>
        <w:rPr>
          <w:rFonts w:ascii="仿宋" w:hAnsi="仿宋"/>
          <w:color w:val="000000"/>
          <w:sz w:val="28"/>
          <w:szCs w:val="21"/>
        </w:rPr>
        <w:t xml:space="preserve">                                 </w:t>
      </w:r>
      <w:r>
        <w:rPr>
          <w:rFonts w:hint="eastAsia" w:ascii="仿宋" w:hAnsi="仿宋"/>
          <w:color w:val="000000"/>
          <w:sz w:val="28"/>
          <w:szCs w:val="21"/>
          <w:lang w:eastAsia="zh-CN"/>
        </w:rPr>
        <w:t>2024</w:t>
      </w:r>
      <w:r>
        <w:rPr>
          <w:rFonts w:ascii="仿宋" w:hAnsi="仿宋"/>
          <w:color w:val="000000"/>
          <w:sz w:val="28"/>
          <w:szCs w:val="21"/>
        </w:rPr>
        <w:t>年  月   日</w:t>
      </w:r>
    </w:p>
    <w:sectPr>
      <w:pgSz w:w="11906" w:h="16838"/>
      <w:pgMar w:top="1361" w:right="1644" w:bottom="1361"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D2469DF-B4AA-4152-BBB3-BAD025DB8B05}"/>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2" w:fontKey="{D9C0DB8E-1FED-49AA-8A42-8CEE3F3A79C1}"/>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3" w:fontKey="{A6DC8A88-3307-4F3E-808F-64594CB0A48B}"/>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4" w:fontKey="{A733F981-A05A-4AB4-9BED-526ADE960B53}"/>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embedRegular r:id="rId5" w:fontKey="{0DC6489D-1BD2-4BCF-B7F7-A1B11E648822}"/>
  </w:font>
  <w:font w:name="新宋体">
    <w:panose1 w:val="02010609030101010101"/>
    <w:charset w:val="86"/>
    <w:family w:val="modern"/>
    <w:pitch w:val="default"/>
    <w:sig w:usb0="00000283" w:usb1="288F0000" w:usb2="00000006" w:usb3="00000000" w:csb0="00040001" w:csb1="00000000"/>
    <w:embedRegular r:id="rId6" w:fontKey="{69FFBE30-FEB9-41A4-A39A-CD02C4E2558C}"/>
  </w:font>
  <w:font w:name="方正小标宋简体">
    <w:panose1 w:val="02000000000000000000"/>
    <w:charset w:val="86"/>
    <w:family w:val="script"/>
    <w:pitch w:val="default"/>
    <w:sig w:usb0="00000001" w:usb1="08000000" w:usb2="00000000" w:usb3="00000000" w:csb0="00040000" w:csb1="00000000"/>
    <w:embedRegular r:id="rId7" w:fontKey="{9E836AAB-8FD0-4083-AC62-831B559670BC}"/>
  </w:font>
  <w:font w:name="仿宋">
    <w:panose1 w:val="02010609060101010101"/>
    <w:charset w:val="86"/>
    <w:family w:val="modern"/>
    <w:pitch w:val="default"/>
    <w:sig w:usb0="800002BF" w:usb1="38CF7CFA" w:usb2="00000016" w:usb3="00000000" w:csb0="00040001" w:csb1="00000000"/>
    <w:embedRegular r:id="rId8" w:fontKey="{5C9F74BF-7352-4989-864D-AA4EC1FAC8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6"/>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3077" o:spid="_x0000_s307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3078" o:spid="_x0000_s307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3"/>
      </w:rPr>
    </w:pPr>
    <w:r>
      <w:rPr>
        <w:sz w:val="18"/>
      </w:rPr>
      <w:pict>
        <v:shape id="_x0000_s3079" o:spid="_x0000_s307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35</w:t>
                </w:r>
                <w:r>
                  <w:fldChar w:fldCharType="end"/>
                </w:r>
              </w:p>
            </w:txbxContent>
          </v:textbox>
        </v:shape>
      </w:pict>
    </w:r>
  </w:p>
  <w:p>
    <w:pPr>
      <w:pStyle w:val="14"/>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3080" o:spid="_x0000_s308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44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0CFF4"/>
    <w:multiLevelType w:val="singleLevel"/>
    <w:tmpl w:val="8600CFF4"/>
    <w:lvl w:ilvl="0" w:tentative="0">
      <w:start w:val="1"/>
      <w:numFmt w:val="chineseCounting"/>
      <w:lvlText w:val="(%1)"/>
      <w:lvlJc w:val="left"/>
      <w:pPr>
        <w:tabs>
          <w:tab w:val="left" w:pos="312"/>
        </w:tabs>
      </w:pPr>
      <w:rPr>
        <w:rFonts w:hint="eastAsia"/>
      </w:rPr>
    </w:lvl>
  </w:abstractNum>
  <w:abstractNum w:abstractNumId="1">
    <w:nsid w:val="9AA60DD3"/>
    <w:multiLevelType w:val="singleLevel"/>
    <w:tmpl w:val="9AA60DD3"/>
    <w:lvl w:ilvl="0" w:tentative="0">
      <w:start w:val="1"/>
      <w:numFmt w:val="decimal"/>
      <w:suff w:val="nothing"/>
      <w:lvlText w:val="%1、"/>
      <w:lvlJc w:val="left"/>
    </w:lvl>
  </w:abstractNum>
  <w:abstractNum w:abstractNumId="2">
    <w:nsid w:val="AE2D8F7B"/>
    <w:multiLevelType w:val="singleLevel"/>
    <w:tmpl w:val="AE2D8F7B"/>
    <w:lvl w:ilvl="0" w:tentative="0">
      <w:start w:val="1"/>
      <w:numFmt w:val="decimal"/>
      <w:pStyle w:val="8"/>
      <w:lvlText w:val="%1."/>
      <w:lvlJc w:val="left"/>
      <w:pPr>
        <w:tabs>
          <w:tab w:val="left" w:pos="1070"/>
        </w:tabs>
        <w:ind w:left="1070" w:hanging="360"/>
      </w:pPr>
      <w:rPr>
        <w:rFonts w:cs="Times New Roman"/>
      </w:rPr>
    </w:lvl>
  </w:abstractNum>
  <w:abstractNum w:abstractNumId="3">
    <w:nsid w:val="AFAC851A"/>
    <w:multiLevelType w:val="singleLevel"/>
    <w:tmpl w:val="AFAC851A"/>
    <w:lvl w:ilvl="0" w:tentative="0">
      <w:start w:val="1"/>
      <w:numFmt w:val="decimal"/>
      <w:suff w:val="nothing"/>
      <w:lvlText w:val="%1、"/>
      <w:lvlJc w:val="left"/>
    </w:lvl>
  </w:abstractNum>
  <w:abstractNum w:abstractNumId="4">
    <w:nsid w:val="C9C77C0D"/>
    <w:multiLevelType w:val="singleLevel"/>
    <w:tmpl w:val="C9C77C0D"/>
    <w:lvl w:ilvl="0" w:tentative="0">
      <w:start w:val="1"/>
      <w:numFmt w:val="decimal"/>
      <w:suff w:val="nothing"/>
      <w:lvlText w:val="%1、"/>
      <w:lvlJc w:val="left"/>
    </w:lvl>
  </w:abstractNum>
  <w:abstractNum w:abstractNumId="5">
    <w:nsid w:val="E33B11D4"/>
    <w:multiLevelType w:val="singleLevel"/>
    <w:tmpl w:val="E33B11D4"/>
    <w:lvl w:ilvl="0" w:tentative="0">
      <w:start w:val="3"/>
      <w:numFmt w:val="decimal"/>
      <w:suff w:val="nothing"/>
      <w:lvlText w:val="%1、"/>
      <w:lvlJc w:val="left"/>
    </w:lvl>
  </w:abstractNum>
  <w:abstractNum w:abstractNumId="6">
    <w:nsid w:val="2FC1F785"/>
    <w:multiLevelType w:val="singleLevel"/>
    <w:tmpl w:val="2FC1F785"/>
    <w:lvl w:ilvl="0" w:tentative="0">
      <w:start w:val="1"/>
      <w:numFmt w:val="decimal"/>
      <w:suff w:val="nothing"/>
      <w:lvlText w:val="%1、"/>
      <w:lvlJc w:val="left"/>
    </w:lvl>
  </w:abstractNum>
  <w:abstractNum w:abstractNumId="7">
    <w:nsid w:val="4BC794F0"/>
    <w:multiLevelType w:val="singleLevel"/>
    <w:tmpl w:val="4BC794F0"/>
    <w:lvl w:ilvl="0" w:tentative="0">
      <w:start w:val="3"/>
      <w:numFmt w:val="chineseCounting"/>
      <w:suff w:val="nothing"/>
      <w:lvlText w:val="（%1）"/>
      <w:lvlJc w:val="left"/>
      <w:rPr>
        <w:rFonts w:hint="eastAsia" w:cs="Times New Roman"/>
      </w:rPr>
    </w:lvl>
  </w:abstractNum>
  <w:abstractNum w:abstractNumId="8">
    <w:nsid w:val="54F403B5"/>
    <w:multiLevelType w:val="singleLevel"/>
    <w:tmpl w:val="54F403B5"/>
    <w:lvl w:ilvl="0" w:tentative="0">
      <w:start w:val="1"/>
      <w:numFmt w:val="chineseCounting"/>
      <w:suff w:val="nothing"/>
      <w:lvlText w:val="%1、"/>
      <w:lvlJc w:val="left"/>
    </w:lvl>
  </w:abstractNum>
  <w:abstractNum w:abstractNumId="9">
    <w:nsid w:val="557FD3DA"/>
    <w:multiLevelType w:val="singleLevel"/>
    <w:tmpl w:val="557FD3DA"/>
    <w:lvl w:ilvl="0" w:tentative="0">
      <w:start w:val="3"/>
      <w:numFmt w:val="chineseCounting"/>
      <w:suff w:val="nothing"/>
      <w:lvlText w:val="%1、"/>
      <w:lvlJc w:val="left"/>
    </w:lvl>
  </w:abstractNum>
  <w:abstractNum w:abstractNumId="10">
    <w:nsid w:val="598030E0"/>
    <w:multiLevelType w:val="multilevel"/>
    <w:tmpl w:val="598030E0"/>
    <w:lvl w:ilvl="0" w:tentative="0">
      <w:start w:val="1"/>
      <w:numFmt w:val="decimal"/>
      <w:pStyle w:val="6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1">
    <w:nsid w:val="75FA021B"/>
    <w:multiLevelType w:val="singleLevel"/>
    <w:tmpl w:val="75FA021B"/>
    <w:lvl w:ilvl="0" w:tentative="0">
      <w:start w:val="1"/>
      <w:numFmt w:val="decimal"/>
      <w:lvlText w:val="%1."/>
      <w:lvlJc w:val="left"/>
      <w:pPr>
        <w:tabs>
          <w:tab w:val="left" w:pos="312"/>
        </w:tabs>
      </w:pPr>
      <w:rPr>
        <w:rFonts w:cs="Times New Roman"/>
      </w:rPr>
    </w:lvl>
  </w:abstractNum>
  <w:num w:numId="1">
    <w:abstractNumId w:val="2"/>
  </w:num>
  <w:num w:numId="2">
    <w:abstractNumId w:val="10"/>
  </w:num>
  <w:num w:numId="3">
    <w:abstractNumId w:val="11"/>
  </w:num>
  <w:num w:numId="4">
    <w:abstractNumId w:val="0"/>
  </w:num>
  <w:num w:numId="5">
    <w:abstractNumId w:val="5"/>
  </w:num>
  <w:num w:numId="6">
    <w:abstractNumId w:val="7"/>
  </w:num>
  <w:num w:numId="7">
    <w:abstractNumId w:val="6"/>
  </w:num>
  <w:num w:numId="8">
    <w:abstractNumId w:val="1"/>
  </w:num>
  <w:num w:numId="9">
    <w:abstractNumId w:val="4"/>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NjllYThiYmE0OWRmYzllMTNlMDYwYmVlNWEyZjI0ZWIifQ=="/>
  </w:docVars>
  <w:rsids>
    <w:rsidRoot w:val="0E970358"/>
    <w:rsid w:val="00000F17"/>
    <w:rsid w:val="00001503"/>
    <w:rsid w:val="0002199D"/>
    <w:rsid w:val="0004261B"/>
    <w:rsid w:val="000455D1"/>
    <w:rsid w:val="0004585A"/>
    <w:rsid w:val="00051A10"/>
    <w:rsid w:val="0006294D"/>
    <w:rsid w:val="00062AB3"/>
    <w:rsid w:val="000A36D3"/>
    <w:rsid w:val="000D067B"/>
    <w:rsid w:val="000E49F9"/>
    <w:rsid w:val="000F06E9"/>
    <w:rsid w:val="000F4673"/>
    <w:rsid w:val="000F4C1C"/>
    <w:rsid w:val="00107BF6"/>
    <w:rsid w:val="00112D0E"/>
    <w:rsid w:val="00116C73"/>
    <w:rsid w:val="00122944"/>
    <w:rsid w:val="00154250"/>
    <w:rsid w:val="00165F2A"/>
    <w:rsid w:val="001728EE"/>
    <w:rsid w:val="00191927"/>
    <w:rsid w:val="001A3E7A"/>
    <w:rsid w:val="001A3E84"/>
    <w:rsid w:val="001D7044"/>
    <w:rsid w:val="001F762C"/>
    <w:rsid w:val="00201D62"/>
    <w:rsid w:val="00207724"/>
    <w:rsid w:val="0021318F"/>
    <w:rsid w:val="002165E9"/>
    <w:rsid w:val="002232BE"/>
    <w:rsid w:val="00226D4D"/>
    <w:rsid w:val="00243FB3"/>
    <w:rsid w:val="00250AF1"/>
    <w:rsid w:val="00251214"/>
    <w:rsid w:val="00275207"/>
    <w:rsid w:val="00275AD9"/>
    <w:rsid w:val="002A1620"/>
    <w:rsid w:val="002B1189"/>
    <w:rsid w:val="002D51C5"/>
    <w:rsid w:val="002D5ACF"/>
    <w:rsid w:val="002E3E2F"/>
    <w:rsid w:val="002E4DD6"/>
    <w:rsid w:val="003102FB"/>
    <w:rsid w:val="00313638"/>
    <w:rsid w:val="003171FB"/>
    <w:rsid w:val="00332E30"/>
    <w:rsid w:val="00346584"/>
    <w:rsid w:val="00346DD8"/>
    <w:rsid w:val="003638D8"/>
    <w:rsid w:val="003639DE"/>
    <w:rsid w:val="003645B3"/>
    <w:rsid w:val="0037446B"/>
    <w:rsid w:val="003806B8"/>
    <w:rsid w:val="003907AB"/>
    <w:rsid w:val="003A0D2A"/>
    <w:rsid w:val="003A1960"/>
    <w:rsid w:val="003B75F0"/>
    <w:rsid w:val="003C5E00"/>
    <w:rsid w:val="003D4ECD"/>
    <w:rsid w:val="003E32CD"/>
    <w:rsid w:val="003F595C"/>
    <w:rsid w:val="003F78E0"/>
    <w:rsid w:val="0040648F"/>
    <w:rsid w:val="00414343"/>
    <w:rsid w:val="00417D90"/>
    <w:rsid w:val="004223B8"/>
    <w:rsid w:val="0042491E"/>
    <w:rsid w:val="00441FAE"/>
    <w:rsid w:val="00446CEF"/>
    <w:rsid w:val="00452C78"/>
    <w:rsid w:val="00462ED2"/>
    <w:rsid w:val="0046320E"/>
    <w:rsid w:val="00463352"/>
    <w:rsid w:val="004811AA"/>
    <w:rsid w:val="00491BDF"/>
    <w:rsid w:val="00492E70"/>
    <w:rsid w:val="004A2A54"/>
    <w:rsid w:val="004A44AA"/>
    <w:rsid w:val="004B20C8"/>
    <w:rsid w:val="004B4165"/>
    <w:rsid w:val="004B41F3"/>
    <w:rsid w:val="004C2DD5"/>
    <w:rsid w:val="004C44FA"/>
    <w:rsid w:val="004D7178"/>
    <w:rsid w:val="004E66F6"/>
    <w:rsid w:val="00513420"/>
    <w:rsid w:val="005176A9"/>
    <w:rsid w:val="00523883"/>
    <w:rsid w:val="0054372B"/>
    <w:rsid w:val="005439FA"/>
    <w:rsid w:val="00561B0B"/>
    <w:rsid w:val="0057140A"/>
    <w:rsid w:val="00582481"/>
    <w:rsid w:val="00584BEC"/>
    <w:rsid w:val="0059487B"/>
    <w:rsid w:val="005A1E9A"/>
    <w:rsid w:val="005A410D"/>
    <w:rsid w:val="00607C73"/>
    <w:rsid w:val="00615CB3"/>
    <w:rsid w:val="00616E31"/>
    <w:rsid w:val="00624393"/>
    <w:rsid w:val="00625D50"/>
    <w:rsid w:val="00635EB5"/>
    <w:rsid w:val="00655E3C"/>
    <w:rsid w:val="00663E40"/>
    <w:rsid w:val="00670734"/>
    <w:rsid w:val="00674C42"/>
    <w:rsid w:val="00680F4D"/>
    <w:rsid w:val="00683396"/>
    <w:rsid w:val="00683E7C"/>
    <w:rsid w:val="00696B76"/>
    <w:rsid w:val="006A1428"/>
    <w:rsid w:val="006B1C70"/>
    <w:rsid w:val="006B4465"/>
    <w:rsid w:val="006C01EC"/>
    <w:rsid w:val="006C2786"/>
    <w:rsid w:val="006E0C84"/>
    <w:rsid w:val="006F4DFE"/>
    <w:rsid w:val="00704B23"/>
    <w:rsid w:val="00720551"/>
    <w:rsid w:val="00752D04"/>
    <w:rsid w:val="00767E76"/>
    <w:rsid w:val="00771BFE"/>
    <w:rsid w:val="00792925"/>
    <w:rsid w:val="007A2629"/>
    <w:rsid w:val="007C1005"/>
    <w:rsid w:val="007C52FB"/>
    <w:rsid w:val="007C7544"/>
    <w:rsid w:val="007E76D9"/>
    <w:rsid w:val="007E7DE2"/>
    <w:rsid w:val="007F7A18"/>
    <w:rsid w:val="008000E9"/>
    <w:rsid w:val="00802325"/>
    <w:rsid w:val="00806EAF"/>
    <w:rsid w:val="00810314"/>
    <w:rsid w:val="0081778E"/>
    <w:rsid w:val="00820750"/>
    <w:rsid w:val="008272FC"/>
    <w:rsid w:val="00847BE5"/>
    <w:rsid w:val="0085220F"/>
    <w:rsid w:val="00855B29"/>
    <w:rsid w:val="008618DC"/>
    <w:rsid w:val="0086410A"/>
    <w:rsid w:val="008656B0"/>
    <w:rsid w:val="00875AC9"/>
    <w:rsid w:val="008765C3"/>
    <w:rsid w:val="0088066B"/>
    <w:rsid w:val="008807ED"/>
    <w:rsid w:val="0088496C"/>
    <w:rsid w:val="00891BA9"/>
    <w:rsid w:val="008C55AE"/>
    <w:rsid w:val="008D349F"/>
    <w:rsid w:val="008E422D"/>
    <w:rsid w:val="008F5018"/>
    <w:rsid w:val="00912983"/>
    <w:rsid w:val="009149C1"/>
    <w:rsid w:val="0092485D"/>
    <w:rsid w:val="009501D3"/>
    <w:rsid w:val="00964258"/>
    <w:rsid w:val="0098003D"/>
    <w:rsid w:val="009B3E22"/>
    <w:rsid w:val="009D0731"/>
    <w:rsid w:val="009D576B"/>
    <w:rsid w:val="009D7DF0"/>
    <w:rsid w:val="009E3D2C"/>
    <w:rsid w:val="009F0D00"/>
    <w:rsid w:val="009F3459"/>
    <w:rsid w:val="00A0183F"/>
    <w:rsid w:val="00A14C19"/>
    <w:rsid w:val="00A24CB5"/>
    <w:rsid w:val="00A30B75"/>
    <w:rsid w:val="00A51DC9"/>
    <w:rsid w:val="00A561B9"/>
    <w:rsid w:val="00A730CA"/>
    <w:rsid w:val="00A9111E"/>
    <w:rsid w:val="00A96C38"/>
    <w:rsid w:val="00AA1D6F"/>
    <w:rsid w:val="00AC0401"/>
    <w:rsid w:val="00AC45B4"/>
    <w:rsid w:val="00AD682D"/>
    <w:rsid w:val="00B01964"/>
    <w:rsid w:val="00B10D42"/>
    <w:rsid w:val="00B12F04"/>
    <w:rsid w:val="00B136BE"/>
    <w:rsid w:val="00B15DDF"/>
    <w:rsid w:val="00B31BFD"/>
    <w:rsid w:val="00B3382E"/>
    <w:rsid w:val="00B5399A"/>
    <w:rsid w:val="00B72B07"/>
    <w:rsid w:val="00B85EAB"/>
    <w:rsid w:val="00BB3F4B"/>
    <w:rsid w:val="00BC7C1E"/>
    <w:rsid w:val="00BD161F"/>
    <w:rsid w:val="00BE0DD6"/>
    <w:rsid w:val="00BE222A"/>
    <w:rsid w:val="00BE3743"/>
    <w:rsid w:val="00BE4F0E"/>
    <w:rsid w:val="00C00ACE"/>
    <w:rsid w:val="00C068E1"/>
    <w:rsid w:val="00C31D3D"/>
    <w:rsid w:val="00C34A14"/>
    <w:rsid w:val="00C45068"/>
    <w:rsid w:val="00C52E14"/>
    <w:rsid w:val="00C610B0"/>
    <w:rsid w:val="00C65624"/>
    <w:rsid w:val="00C716C9"/>
    <w:rsid w:val="00C71C50"/>
    <w:rsid w:val="00C767D4"/>
    <w:rsid w:val="00C76F3B"/>
    <w:rsid w:val="00CB4902"/>
    <w:rsid w:val="00CB6273"/>
    <w:rsid w:val="00CC232E"/>
    <w:rsid w:val="00CC3DE2"/>
    <w:rsid w:val="00CD1804"/>
    <w:rsid w:val="00CE4D1B"/>
    <w:rsid w:val="00CF7AF2"/>
    <w:rsid w:val="00D117BA"/>
    <w:rsid w:val="00D13ADB"/>
    <w:rsid w:val="00D220E4"/>
    <w:rsid w:val="00D603C1"/>
    <w:rsid w:val="00D731C1"/>
    <w:rsid w:val="00D869EF"/>
    <w:rsid w:val="00D974D8"/>
    <w:rsid w:val="00DA3EDF"/>
    <w:rsid w:val="00DA5164"/>
    <w:rsid w:val="00DC4B61"/>
    <w:rsid w:val="00DD188E"/>
    <w:rsid w:val="00DD1EFC"/>
    <w:rsid w:val="00DD32AE"/>
    <w:rsid w:val="00DF1EBB"/>
    <w:rsid w:val="00DF7DAB"/>
    <w:rsid w:val="00E03442"/>
    <w:rsid w:val="00E253CA"/>
    <w:rsid w:val="00E319E7"/>
    <w:rsid w:val="00E452AE"/>
    <w:rsid w:val="00E45F1A"/>
    <w:rsid w:val="00E5764B"/>
    <w:rsid w:val="00E663E4"/>
    <w:rsid w:val="00E67C65"/>
    <w:rsid w:val="00E7788A"/>
    <w:rsid w:val="00E936B3"/>
    <w:rsid w:val="00EC18E9"/>
    <w:rsid w:val="00EC7A17"/>
    <w:rsid w:val="00ED5039"/>
    <w:rsid w:val="00EF2797"/>
    <w:rsid w:val="00F053B9"/>
    <w:rsid w:val="00F10AC9"/>
    <w:rsid w:val="00F127FF"/>
    <w:rsid w:val="00F21B06"/>
    <w:rsid w:val="00F41457"/>
    <w:rsid w:val="00F4402B"/>
    <w:rsid w:val="00F4419E"/>
    <w:rsid w:val="00F72C48"/>
    <w:rsid w:val="00F7484A"/>
    <w:rsid w:val="00F74F67"/>
    <w:rsid w:val="00F96DCE"/>
    <w:rsid w:val="00FB6666"/>
    <w:rsid w:val="00FC1944"/>
    <w:rsid w:val="00FD4075"/>
    <w:rsid w:val="00FD457D"/>
    <w:rsid w:val="00FD6DA1"/>
    <w:rsid w:val="00FE4FF9"/>
    <w:rsid w:val="00FF1405"/>
    <w:rsid w:val="010E6E92"/>
    <w:rsid w:val="015B511D"/>
    <w:rsid w:val="01935887"/>
    <w:rsid w:val="01A666DA"/>
    <w:rsid w:val="01E87E29"/>
    <w:rsid w:val="01F43691"/>
    <w:rsid w:val="01F479E0"/>
    <w:rsid w:val="02516B39"/>
    <w:rsid w:val="02833336"/>
    <w:rsid w:val="02BF7C10"/>
    <w:rsid w:val="02EA40CD"/>
    <w:rsid w:val="036C2CC6"/>
    <w:rsid w:val="03814815"/>
    <w:rsid w:val="03E80687"/>
    <w:rsid w:val="041F6313"/>
    <w:rsid w:val="04777E7D"/>
    <w:rsid w:val="04C85F46"/>
    <w:rsid w:val="04CC341D"/>
    <w:rsid w:val="04EC3EA8"/>
    <w:rsid w:val="04F506B5"/>
    <w:rsid w:val="05137CD7"/>
    <w:rsid w:val="05877E33"/>
    <w:rsid w:val="05933560"/>
    <w:rsid w:val="060B26E0"/>
    <w:rsid w:val="063D0FB4"/>
    <w:rsid w:val="064121F6"/>
    <w:rsid w:val="06734DC6"/>
    <w:rsid w:val="06894391"/>
    <w:rsid w:val="069A3F03"/>
    <w:rsid w:val="06F91757"/>
    <w:rsid w:val="07132E29"/>
    <w:rsid w:val="07182E49"/>
    <w:rsid w:val="071C2CF6"/>
    <w:rsid w:val="07A45EBA"/>
    <w:rsid w:val="07AC3D4E"/>
    <w:rsid w:val="07C719B2"/>
    <w:rsid w:val="081341FD"/>
    <w:rsid w:val="08136F44"/>
    <w:rsid w:val="087C4ACE"/>
    <w:rsid w:val="087F1778"/>
    <w:rsid w:val="088D3477"/>
    <w:rsid w:val="0890739F"/>
    <w:rsid w:val="090B77F7"/>
    <w:rsid w:val="091C1110"/>
    <w:rsid w:val="092D5A83"/>
    <w:rsid w:val="095D57B8"/>
    <w:rsid w:val="096A2124"/>
    <w:rsid w:val="0A3A569A"/>
    <w:rsid w:val="0A4E7ECC"/>
    <w:rsid w:val="0ABC414C"/>
    <w:rsid w:val="0AC0280E"/>
    <w:rsid w:val="0AC56FBF"/>
    <w:rsid w:val="0ADD3852"/>
    <w:rsid w:val="0BA625E9"/>
    <w:rsid w:val="0BB52316"/>
    <w:rsid w:val="0BB610BA"/>
    <w:rsid w:val="0BD303ED"/>
    <w:rsid w:val="0C1E2BA0"/>
    <w:rsid w:val="0C2274BE"/>
    <w:rsid w:val="0C765CB2"/>
    <w:rsid w:val="0CBD0583"/>
    <w:rsid w:val="0CCF6F61"/>
    <w:rsid w:val="0CF73D0D"/>
    <w:rsid w:val="0D552DB7"/>
    <w:rsid w:val="0D694F8F"/>
    <w:rsid w:val="0D8F1F11"/>
    <w:rsid w:val="0DB625E6"/>
    <w:rsid w:val="0DCE2BD5"/>
    <w:rsid w:val="0DCE5D84"/>
    <w:rsid w:val="0E7B1859"/>
    <w:rsid w:val="0E970358"/>
    <w:rsid w:val="0ED14173"/>
    <w:rsid w:val="0F6350F4"/>
    <w:rsid w:val="0F693559"/>
    <w:rsid w:val="0F793590"/>
    <w:rsid w:val="0FA743F3"/>
    <w:rsid w:val="0FB61EB6"/>
    <w:rsid w:val="0FC80CC2"/>
    <w:rsid w:val="0FD221B2"/>
    <w:rsid w:val="0FD625CC"/>
    <w:rsid w:val="10392EAE"/>
    <w:rsid w:val="1049183E"/>
    <w:rsid w:val="10706EC2"/>
    <w:rsid w:val="10A673EB"/>
    <w:rsid w:val="10D12710"/>
    <w:rsid w:val="10D33526"/>
    <w:rsid w:val="10E0764D"/>
    <w:rsid w:val="113C4F19"/>
    <w:rsid w:val="11617F02"/>
    <w:rsid w:val="11D0012E"/>
    <w:rsid w:val="11F27D2E"/>
    <w:rsid w:val="120B1A30"/>
    <w:rsid w:val="1233442A"/>
    <w:rsid w:val="12657D54"/>
    <w:rsid w:val="12807280"/>
    <w:rsid w:val="12AA67A2"/>
    <w:rsid w:val="12C73063"/>
    <w:rsid w:val="12D91133"/>
    <w:rsid w:val="130472E2"/>
    <w:rsid w:val="132534D2"/>
    <w:rsid w:val="132E7A97"/>
    <w:rsid w:val="13394A53"/>
    <w:rsid w:val="1379491B"/>
    <w:rsid w:val="13AB7493"/>
    <w:rsid w:val="13B5316D"/>
    <w:rsid w:val="13CD65B1"/>
    <w:rsid w:val="13E65E56"/>
    <w:rsid w:val="13F3187A"/>
    <w:rsid w:val="1402045D"/>
    <w:rsid w:val="14434401"/>
    <w:rsid w:val="14723255"/>
    <w:rsid w:val="148463E6"/>
    <w:rsid w:val="14D20D9B"/>
    <w:rsid w:val="155E6D9F"/>
    <w:rsid w:val="15833FBA"/>
    <w:rsid w:val="159965F1"/>
    <w:rsid w:val="15A72BED"/>
    <w:rsid w:val="15C154FF"/>
    <w:rsid w:val="15F85D69"/>
    <w:rsid w:val="1604147F"/>
    <w:rsid w:val="1621170E"/>
    <w:rsid w:val="164846AF"/>
    <w:rsid w:val="16E80C57"/>
    <w:rsid w:val="17044C5E"/>
    <w:rsid w:val="17132AEA"/>
    <w:rsid w:val="17B11D87"/>
    <w:rsid w:val="17B6721B"/>
    <w:rsid w:val="17C57F05"/>
    <w:rsid w:val="17F15BF1"/>
    <w:rsid w:val="17F94D74"/>
    <w:rsid w:val="181C3304"/>
    <w:rsid w:val="185A295C"/>
    <w:rsid w:val="18A65827"/>
    <w:rsid w:val="18B21069"/>
    <w:rsid w:val="18B91D2B"/>
    <w:rsid w:val="18BA5221"/>
    <w:rsid w:val="18C40414"/>
    <w:rsid w:val="19317EF7"/>
    <w:rsid w:val="194A053B"/>
    <w:rsid w:val="199A1177"/>
    <w:rsid w:val="19B71C72"/>
    <w:rsid w:val="19BC28CB"/>
    <w:rsid w:val="19F64A65"/>
    <w:rsid w:val="1A3B525B"/>
    <w:rsid w:val="1A594CC7"/>
    <w:rsid w:val="1A60180F"/>
    <w:rsid w:val="1A6A6D44"/>
    <w:rsid w:val="1A817123"/>
    <w:rsid w:val="1AC13D34"/>
    <w:rsid w:val="1AD84F90"/>
    <w:rsid w:val="1AF26796"/>
    <w:rsid w:val="1B2A0141"/>
    <w:rsid w:val="1B54787D"/>
    <w:rsid w:val="1BCA25D5"/>
    <w:rsid w:val="1BCF3436"/>
    <w:rsid w:val="1C093ECB"/>
    <w:rsid w:val="1C300295"/>
    <w:rsid w:val="1C3C2151"/>
    <w:rsid w:val="1C3C69B6"/>
    <w:rsid w:val="1C732BE3"/>
    <w:rsid w:val="1CA056CC"/>
    <w:rsid w:val="1CAF15DF"/>
    <w:rsid w:val="1CE43D62"/>
    <w:rsid w:val="1CE4433A"/>
    <w:rsid w:val="1CFD5CD5"/>
    <w:rsid w:val="1D6F7A29"/>
    <w:rsid w:val="1DBC50ED"/>
    <w:rsid w:val="1EB35E9D"/>
    <w:rsid w:val="1EC52C81"/>
    <w:rsid w:val="1EE84AA8"/>
    <w:rsid w:val="1EF00C06"/>
    <w:rsid w:val="1F09591A"/>
    <w:rsid w:val="1F143134"/>
    <w:rsid w:val="1F3A051E"/>
    <w:rsid w:val="201E0359"/>
    <w:rsid w:val="20462EC6"/>
    <w:rsid w:val="205209A1"/>
    <w:rsid w:val="206E30A7"/>
    <w:rsid w:val="20743E4C"/>
    <w:rsid w:val="2074556D"/>
    <w:rsid w:val="208B4B0C"/>
    <w:rsid w:val="20925798"/>
    <w:rsid w:val="20C40549"/>
    <w:rsid w:val="20E1183E"/>
    <w:rsid w:val="20EA613D"/>
    <w:rsid w:val="211B6DAF"/>
    <w:rsid w:val="216924EC"/>
    <w:rsid w:val="21822C84"/>
    <w:rsid w:val="21A93932"/>
    <w:rsid w:val="21CF11AD"/>
    <w:rsid w:val="21D564EB"/>
    <w:rsid w:val="21E42883"/>
    <w:rsid w:val="21E71159"/>
    <w:rsid w:val="21EF792F"/>
    <w:rsid w:val="21FD745F"/>
    <w:rsid w:val="228447E5"/>
    <w:rsid w:val="228F00B3"/>
    <w:rsid w:val="22B04FE0"/>
    <w:rsid w:val="2316057F"/>
    <w:rsid w:val="23167665"/>
    <w:rsid w:val="233169B6"/>
    <w:rsid w:val="23395713"/>
    <w:rsid w:val="23424F53"/>
    <w:rsid w:val="236E14E2"/>
    <w:rsid w:val="237D4DE5"/>
    <w:rsid w:val="23B2716A"/>
    <w:rsid w:val="23DF38E3"/>
    <w:rsid w:val="240A5C3D"/>
    <w:rsid w:val="24183D64"/>
    <w:rsid w:val="242379FA"/>
    <w:rsid w:val="244666CC"/>
    <w:rsid w:val="24650F1F"/>
    <w:rsid w:val="24A21C8A"/>
    <w:rsid w:val="24D34772"/>
    <w:rsid w:val="254774AC"/>
    <w:rsid w:val="257707D6"/>
    <w:rsid w:val="257D1E1E"/>
    <w:rsid w:val="259E35E2"/>
    <w:rsid w:val="261F0642"/>
    <w:rsid w:val="26234FA4"/>
    <w:rsid w:val="26327F89"/>
    <w:rsid w:val="2633589B"/>
    <w:rsid w:val="26466B71"/>
    <w:rsid w:val="265E478A"/>
    <w:rsid w:val="26741DCF"/>
    <w:rsid w:val="27541975"/>
    <w:rsid w:val="277E1E75"/>
    <w:rsid w:val="278C67D4"/>
    <w:rsid w:val="27F865FE"/>
    <w:rsid w:val="280A64FC"/>
    <w:rsid w:val="281C0B58"/>
    <w:rsid w:val="286F68E1"/>
    <w:rsid w:val="288021B7"/>
    <w:rsid w:val="28EA45C6"/>
    <w:rsid w:val="29284EA2"/>
    <w:rsid w:val="29621B7E"/>
    <w:rsid w:val="298E7457"/>
    <w:rsid w:val="29C06001"/>
    <w:rsid w:val="29D148D0"/>
    <w:rsid w:val="29D669C7"/>
    <w:rsid w:val="2A552B4E"/>
    <w:rsid w:val="2A7D0049"/>
    <w:rsid w:val="2AC803DC"/>
    <w:rsid w:val="2ACB14A0"/>
    <w:rsid w:val="2B087882"/>
    <w:rsid w:val="2B3B455B"/>
    <w:rsid w:val="2B6B43A5"/>
    <w:rsid w:val="2B725BAC"/>
    <w:rsid w:val="2B930FCA"/>
    <w:rsid w:val="2BD02D0E"/>
    <w:rsid w:val="2BF233B1"/>
    <w:rsid w:val="2C181807"/>
    <w:rsid w:val="2C1A0BC8"/>
    <w:rsid w:val="2C1F576B"/>
    <w:rsid w:val="2CC67A84"/>
    <w:rsid w:val="2CD029CD"/>
    <w:rsid w:val="2D4C6852"/>
    <w:rsid w:val="2D967336"/>
    <w:rsid w:val="2DAF6485"/>
    <w:rsid w:val="2DC071FE"/>
    <w:rsid w:val="2DC1674C"/>
    <w:rsid w:val="2E7876D2"/>
    <w:rsid w:val="2EBB4675"/>
    <w:rsid w:val="2EDB23A5"/>
    <w:rsid w:val="2F2C710F"/>
    <w:rsid w:val="2F583F83"/>
    <w:rsid w:val="2F8E4984"/>
    <w:rsid w:val="2F90386C"/>
    <w:rsid w:val="2F945898"/>
    <w:rsid w:val="2FAC068E"/>
    <w:rsid w:val="2FE27D3F"/>
    <w:rsid w:val="2FEF4A12"/>
    <w:rsid w:val="30077FF0"/>
    <w:rsid w:val="30143D85"/>
    <w:rsid w:val="30DA7C66"/>
    <w:rsid w:val="310C5FE6"/>
    <w:rsid w:val="31144B1A"/>
    <w:rsid w:val="31752B09"/>
    <w:rsid w:val="32224886"/>
    <w:rsid w:val="32DF7D19"/>
    <w:rsid w:val="3314645C"/>
    <w:rsid w:val="333741F8"/>
    <w:rsid w:val="334F65EC"/>
    <w:rsid w:val="335B735A"/>
    <w:rsid w:val="336948D7"/>
    <w:rsid w:val="33AE225C"/>
    <w:rsid w:val="33B41F22"/>
    <w:rsid w:val="33D237F6"/>
    <w:rsid w:val="341548E3"/>
    <w:rsid w:val="34277C63"/>
    <w:rsid w:val="34355713"/>
    <w:rsid w:val="346C6723"/>
    <w:rsid w:val="34913EA7"/>
    <w:rsid w:val="34A862EA"/>
    <w:rsid w:val="34AB3C19"/>
    <w:rsid w:val="34D22520"/>
    <w:rsid w:val="34F31A4A"/>
    <w:rsid w:val="34F72533"/>
    <w:rsid w:val="35354043"/>
    <w:rsid w:val="357F37E4"/>
    <w:rsid w:val="36230503"/>
    <w:rsid w:val="36275B97"/>
    <w:rsid w:val="362D624A"/>
    <w:rsid w:val="363D4092"/>
    <w:rsid w:val="366B493E"/>
    <w:rsid w:val="36A96AF8"/>
    <w:rsid w:val="36B42449"/>
    <w:rsid w:val="36B5516B"/>
    <w:rsid w:val="37345C09"/>
    <w:rsid w:val="37712A39"/>
    <w:rsid w:val="377C4239"/>
    <w:rsid w:val="37A90F81"/>
    <w:rsid w:val="37C217C1"/>
    <w:rsid w:val="380F12BD"/>
    <w:rsid w:val="382F5D5E"/>
    <w:rsid w:val="38740ED7"/>
    <w:rsid w:val="3879450C"/>
    <w:rsid w:val="395B1D63"/>
    <w:rsid w:val="398048E2"/>
    <w:rsid w:val="399E2D35"/>
    <w:rsid w:val="39F644D6"/>
    <w:rsid w:val="3A1B2D60"/>
    <w:rsid w:val="3A247BB8"/>
    <w:rsid w:val="3AE50133"/>
    <w:rsid w:val="3B142CA0"/>
    <w:rsid w:val="3B345EA5"/>
    <w:rsid w:val="3B764B6D"/>
    <w:rsid w:val="3B927B77"/>
    <w:rsid w:val="3BAC56E0"/>
    <w:rsid w:val="3BD06B58"/>
    <w:rsid w:val="3C115B1E"/>
    <w:rsid w:val="3C1201E9"/>
    <w:rsid w:val="3C51571B"/>
    <w:rsid w:val="3C8C6A7E"/>
    <w:rsid w:val="3CB93A51"/>
    <w:rsid w:val="3CD7321E"/>
    <w:rsid w:val="3CE5417C"/>
    <w:rsid w:val="3D0F3DDD"/>
    <w:rsid w:val="3D3641AE"/>
    <w:rsid w:val="3D6A7DEA"/>
    <w:rsid w:val="3D8773A8"/>
    <w:rsid w:val="3D895870"/>
    <w:rsid w:val="3DA26836"/>
    <w:rsid w:val="3DB531EC"/>
    <w:rsid w:val="3DBF7131"/>
    <w:rsid w:val="3DC963B5"/>
    <w:rsid w:val="3DDF7E2A"/>
    <w:rsid w:val="3E3B4817"/>
    <w:rsid w:val="3E630F1F"/>
    <w:rsid w:val="3EE11229"/>
    <w:rsid w:val="3F0D3A65"/>
    <w:rsid w:val="3F740A54"/>
    <w:rsid w:val="3F8B76DF"/>
    <w:rsid w:val="3F8C32C3"/>
    <w:rsid w:val="3F994320"/>
    <w:rsid w:val="3FD37572"/>
    <w:rsid w:val="401F280B"/>
    <w:rsid w:val="402F707E"/>
    <w:rsid w:val="40337FDD"/>
    <w:rsid w:val="40482BE4"/>
    <w:rsid w:val="408C1507"/>
    <w:rsid w:val="40BB7352"/>
    <w:rsid w:val="40E918A0"/>
    <w:rsid w:val="411A2599"/>
    <w:rsid w:val="412F249A"/>
    <w:rsid w:val="41434456"/>
    <w:rsid w:val="415406DE"/>
    <w:rsid w:val="416326F1"/>
    <w:rsid w:val="41650985"/>
    <w:rsid w:val="416D3B13"/>
    <w:rsid w:val="41A2074B"/>
    <w:rsid w:val="41B3702C"/>
    <w:rsid w:val="41DC0B96"/>
    <w:rsid w:val="41DF59E2"/>
    <w:rsid w:val="41F75683"/>
    <w:rsid w:val="424D2FE6"/>
    <w:rsid w:val="42ED1682"/>
    <w:rsid w:val="43036342"/>
    <w:rsid w:val="433A37D3"/>
    <w:rsid w:val="433D6563"/>
    <w:rsid w:val="438B0C65"/>
    <w:rsid w:val="43C03689"/>
    <w:rsid w:val="43F5066D"/>
    <w:rsid w:val="441D16AC"/>
    <w:rsid w:val="44251601"/>
    <w:rsid w:val="442C0C55"/>
    <w:rsid w:val="442D06C1"/>
    <w:rsid w:val="447845CD"/>
    <w:rsid w:val="447E4B46"/>
    <w:rsid w:val="45150D09"/>
    <w:rsid w:val="4563730C"/>
    <w:rsid w:val="4627103F"/>
    <w:rsid w:val="4630324B"/>
    <w:rsid w:val="465029AA"/>
    <w:rsid w:val="465549FC"/>
    <w:rsid w:val="465877D2"/>
    <w:rsid w:val="466E0364"/>
    <w:rsid w:val="46AC37D1"/>
    <w:rsid w:val="46C23BDE"/>
    <w:rsid w:val="4750053E"/>
    <w:rsid w:val="47C2207E"/>
    <w:rsid w:val="48611F55"/>
    <w:rsid w:val="48694FA0"/>
    <w:rsid w:val="488E768B"/>
    <w:rsid w:val="489527B8"/>
    <w:rsid w:val="48B07229"/>
    <w:rsid w:val="48D754C5"/>
    <w:rsid w:val="48FD2DFC"/>
    <w:rsid w:val="490B51D3"/>
    <w:rsid w:val="492F61FD"/>
    <w:rsid w:val="494604C5"/>
    <w:rsid w:val="49504C55"/>
    <w:rsid w:val="49F41D5E"/>
    <w:rsid w:val="4AAD0B1D"/>
    <w:rsid w:val="4AD47215"/>
    <w:rsid w:val="4B042886"/>
    <w:rsid w:val="4B1A5CF4"/>
    <w:rsid w:val="4B1E31F7"/>
    <w:rsid w:val="4B42117E"/>
    <w:rsid w:val="4BCB3573"/>
    <w:rsid w:val="4BD21935"/>
    <w:rsid w:val="4BD71791"/>
    <w:rsid w:val="4BD824F1"/>
    <w:rsid w:val="4C164A73"/>
    <w:rsid w:val="4C1B6D47"/>
    <w:rsid w:val="4C2E46AD"/>
    <w:rsid w:val="4C48712E"/>
    <w:rsid w:val="4C5264D1"/>
    <w:rsid w:val="4C7E174F"/>
    <w:rsid w:val="4C8E3693"/>
    <w:rsid w:val="4CC9059A"/>
    <w:rsid w:val="4CE75373"/>
    <w:rsid w:val="4D442B37"/>
    <w:rsid w:val="4D4D1DA6"/>
    <w:rsid w:val="4D7D1827"/>
    <w:rsid w:val="4DF364CA"/>
    <w:rsid w:val="4DF7368F"/>
    <w:rsid w:val="4E0272EF"/>
    <w:rsid w:val="4E0A397F"/>
    <w:rsid w:val="4E6A1EB9"/>
    <w:rsid w:val="4EA06EBA"/>
    <w:rsid w:val="4F147B4F"/>
    <w:rsid w:val="4F3A5050"/>
    <w:rsid w:val="4FB477EE"/>
    <w:rsid w:val="4FC61884"/>
    <w:rsid w:val="50502AF5"/>
    <w:rsid w:val="50600A36"/>
    <w:rsid w:val="50603F1A"/>
    <w:rsid w:val="50674DDA"/>
    <w:rsid w:val="50777E96"/>
    <w:rsid w:val="508D0669"/>
    <w:rsid w:val="509D3E6B"/>
    <w:rsid w:val="50B560F4"/>
    <w:rsid w:val="510C5927"/>
    <w:rsid w:val="51121564"/>
    <w:rsid w:val="51242084"/>
    <w:rsid w:val="51401B4B"/>
    <w:rsid w:val="51544941"/>
    <w:rsid w:val="515D2CC0"/>
    <w:rsid w:val="519F1664"/>
    <w:rsid w:val="51AE3090"/>
    <w:rsid w:val="51FC454B"/>
    <w:rsid w:val="52214A5D"/>
    <w:rsid w:val="52346DDE"/>
    <w:rsid w:val="52FD5ECE"/>
    <w:rsid w:val="53144561"/>
    <w:rsid w:val="5328276B"/>
    <w:rsid w:val="535938E1"/>
    <w:rsid w:val="53614200"/>
    <w:rsid w:val="53B250D2"/>
    <w:rsid w:val="53C749AB"/>
    <w:rsid w:val="53D35879"/>
    <w:rsid w:val="53D83862"/>
    <w:rsid w:val="545029BD"/>
    <w:rsid w:val="547873B0"/>
    <w:rsid w:val="54C91D92"/>
    <w:rsid w:val="55345F85"/>
    <w:rsid w:val="553B6702"/>
    <w:rsid w:val="55611AFF"/>
    <w:rsid w:val="55625CCE"/>
    <w:rsid w:val="556A671B"/>
    <w:rsid w:val="5589335D"/>
    <w:rsid w:val="558E185C"/>
    <w:rsid w:val="55E02CAC"/>
    <w:rsid w:val="56060383"/>
    <w:rsid w:val="564E5871"/>
    <w:rsid w:val="566D4B95"/>
    <w:rsid w:val="567840DF"/>
    <w:rsid w:val="56E11103"/>
    <w:rsid w:val="571838EA"/>
    <w:rsid w:val="571C5F7A"/>
    <w:rsid w:val="572656D4"/>
    <w:rsid w:val="57790340"/>
    <w:rsid w:val="57A93488"/>
    <w:rsid w:val="585036F8"/>
    <w:rsid w:val="58530C10"/>
    <w:rsid w:val="585F30DA"/>
    <w:rsid w:val="589A3642"/>
    <w:rsid w:val="591D5064"/>
    <w:rsid w:val="594775EE"/>
    <w:rsid w:val="594B0990"/>
    <w:rsid w:val="596A2016"/>
    <w:rsid w:val="599B1824"/>
    <w:rsid w:val="59AD06A4"/>
    <w:rsid w:val="59B12F6A"/>
    <w:rsid w:val="59FA2DC3"/>
    <w:rsid w:val="5A4D586D"/>
    <w:rsid w:val="5A6249B0"/>
    <w:rsid w:val="5A8E0B47"/>
    <w:rsid w:val="5AEA51D9"/>
    <w:rsid w:val="5B465023"/>
    <w:rsid w:val="5BD90D9C"/>
    <w:rsid w:val="5BF037E6"/>
    <w:rsid w:val="5BF50434"/>
    <w:rsid w:val="5C0C2014"/>
    <w:rsid w:val="5C1C5E65"/>
    <w:rsid w:val="5CFB5EAA"/>
    <w:rsid w:val="5D685A25"/>
    <w:rsid w:val="5D9E285C"/>
    <w:rsid w:val="5DEF695A"/>
    <w:rsid w:val="5E427A23"/>
    <w:rsid w:val="5E5C401B"/>
    <w:rsid w:val="5E867F9B"/>
    <w:rsid w:val="5EC32CA2"/>
    <w:rsid w:val="5EDD631A"/>
    <w:rsid w:val="5EE84C68"/>
    <w:rsid w:val="5F045A13"/>
    <w:rsid w:val="5F5222CE"/>
    <w:rsid w:val="5F6967A7"/>
    <w:rsid w:val="5F747931"/>
    <w:rsid w:val="5F786E10"/>
    <w:rsid w:val="5F7A6417"/>
    <w:rsid w:val="5F833600"/>
    <w:rsid w:val="5F844696"/>
    <w:rsid w:val="5F855D05"/>
    <w:rsid w:val="5F8719F3"/>
    <w:rsid w:val="5FAF0B69"/>
    <w:rsid w:val="5FCA6B48"/>
    <w:rsid w:val="608131C5"/>
    <w:rsid w:val="60981427"/>
    <w:rsid w:val="60981622"/>
    <w:rsid w:val="609E0524"/>
    <w:rsid w:val="60CE2539"/>
    <w:rsid w:val="60EF739A"/>
    <w:rsid w:val="61117495"/>
    <w:rsid w:val="61240730"/>
    <w:rsid w:val="61664356"/>
    <w:rsid w:val="61856652"/>
    <w:rsid w:val="61A34B10"/>
    <w:rsid w:val="61C827FF"/>
    <w:rsid w:val="61CD7D4C"/>
    <w:rsid w:val="621D5BA4"/>
    <w:rsid w:val="62F61EA1"/>
    <w:rsid w:val="62FD2CF7"/>
    <w:rsid w:val="63001EFA"/>
    <w:rsid w:val="63172DE3"/>
    <w:rsid w:val="635B6748"/>
    <w:rsid w:val="638667CB"/>
    <w:rsid w:val="63947A95"/>
    <w:rsid w:val="63A92605"/>
    <w:rsid w:val="63B361C6"/>
    <w:rsid w:val="63DA53C2"/>
    <w:rsid w:val="63DE6B5E"/>
    <w:rsid w:val="63EF3489"/>
    <w:rsid w:val="63EF5181"/>
    <w:rsid w:val="63FC70D8"/>
    <w:rsid w:val="64155AA4"/>
    <w:rsid w:val="644E53B4"/>
    <w:rsid w:val="64635E15"/>
    <w:rsid w:val="64B723A5"/>
    <w:rsid w:val="64C347F8"/>
    <w:rsid w:val="654C35A5"/>
    <w:rsid w:val="65867E1B"/>
    <w:rsid w:val="65CA49CF"/>
    <w:rsid w:val="662136A0"/>
    <w:rsid w:val="663C1F8C"/>
    <w:rsid w:val="664362C5"/>
    <w:rsid w:val="664C4D63"/>
    <w:rsid w:val="667875E7"/>
    <w:rsid w:val="66B2626A"/>
    <w:rsid w:val="66BC09F3"/>
    <w:rsid w:val="66C200E6"/>
    <w:rsid w:val="67667A49"/>
    <w:rsid w:val="678F5C51"/>
    <w:rsid w:val="67B167D1"/>
    <w:rsid w:val="67F57FFB"/>
    <w:rsid w:val="684B5059"/>
    <w:rsid w:val="685F1C50"/>
    <w:rsid w:val="6872791A"/>
    <w:rsid w:val="68E15A3A"/>
    <w:rsid w:val="68E30C90"/>
    <w:rsid w:val="6925672C"/>
    <w:rsid w:val="693117E6"/>
    <w:rsid w:val="69377ACD"/>
    <w:rsid w:val="694078ED"/>
    <w:rsid w:val="69867BE1"/>
    <w:rsid w:val="699022E9"/>
    <w:rsid w:val="69AC00C0"/>
    <w:rsid w:val="6A714498"/>
    <w:rsid w:val="6A78774B"/>
    <w:rsid w:val="6A845374"/>
    <w:rsid w:val="6AA307CE"/>
    <w:rsid w:val="6AF82AC5"/>
    <w:rsid w:val="6B0829A9"/>
    <w:rsid w:val="6B1932A2"/>
    <w:rsid w:val="6B221A4C"/>
    <w:rsid w:val="6B6C5A1F"/>
    <w:rsid w:val="6B992734"/>
    <w:rsid w:val="6BCC7641"/>
    <w:rsid w:val="6C033C17"/>
    <w:rsid w:val="6C464D18"/>
    <w:rsid w:val="6C551346"/>
    <w:rsid w:val="6C61573E"/>
    <w:rsid w:val="6C63373C"/>
    <w:rsid w:val="6CC87DEC"/>
    <w:rsid w:val="6D8945B4"/>
    <w:rsid w:val="6D96421C"/>
    <w:rsid w:val="6DD82CE3"/>
    <w:rsid w:val="6DDC25E4"/>
    <w:rsid w:val="6E091F31"/>
    <w:rsid w:val="6E1B4027"/>
    <w:rsid w:val="6E1D4A1D"/>
    <w:rsid w:val="6E3947EE"/>
    <w:rsid w:val="6E3C0C09"/>
    <w:rsid w:val="6E6A7342"/>
    <w:rsid w:val="6E9E1AA4"/>
    <w:rsid w:val="6EB57E07"/>
    <w:rsid w:val="6EC46087"/>
    <w:rsid w:val="6F5262FA"/>
    <w:rsid w:val="6F94678D"/>
    <w:rsid w:val="6FD042F1"/>
    <w:rsid w:val="70061711"/>
    <w:rsid w:val="704959EA"/>
    <w:rsid w:val="706047ED"/>
    <w:rsid w:val="706131B8"/>
    <w:rsid w:val="707273F9"/>
    <w:rsid w:val="707E4029"/>
    <w:rsid w:val="70A34089"/>
    <w:rsid w:val="70B85D72"/>
    <w:rsid w:val="70BC5C25"/>
    <w:rsid w:val="70CC010F"/>
    <w:rsid w:val="71624A26"/>
    <w:rsid w:val="718B0D28"/>
    <w:rsid w:val="71D710FF"/>
    <w:rsid w:val="72305320"/>
    <w:rsid w:val="7241501C"/>
    <w:rsid w:val="72B05E0E"/>
    <w:rsid w:val="72B51FC9"/>
    <w:rsid w:val="72BD5067"/>
    <w:rsid w:val="72C44E87"/>
    <w:rsid w:val="72CC0F8D"/>
    <w:rsid w:val="737D2513"/>
    <w:rsid w:val="73BE7F06"/>
    <w:rsid w:val="73D357FA"/>
    <w:rsid w:val="742304A1"/>
    <w:rsid w:val="7424115D"/>
    <w:rsid w:val="7427687B"/>
    <w:rsid w:val="743C23C7"/>
    <w:rsid w:val="745919C6"/>
    <w:rsid w:val="746E513B"/>
    <w:rsid w:val="74702A9A"/>
    <w:rsid w:val="74B11020"/>
    <w:rsid w:val="74BB7697"/>
    <w:rsid w:val="74BE32A8"/>
    <w:rsid w:val="74E5258C"/>
    <w:rsid w:val="753860D5"/>
    <w:rsid w:val="75B02174"/>
    <w:rsid w:val="760E5965"/>
    <w:rsid w:val="761C2BBB"/>
    <w:rsid w:val="76256893"/>
    <w:rsid w:val="762D36F0"/>
    <w:rsid w:val="76C51CC8"/>
    <w:rsid w:val="76C9746E"/>
    <w:rsid w:val="76D039DA"/>
    <w:rsid w:val="76EB094B"/>
    <w:rsid w:val="77102312"/>
    <w:rsid w:val="772720EE"/>
    <w:rsid w:val="776125DC"/>
    <w:rsid w:val="776A1DE8"/>
    <w:rsid w:val="77ED0B73"/>
    <w:rsid w:val="78036CE6"/>
    <w:rsid w:val="782F2929"/>
    <w:rsid w:val="785D00CA"/>
    <w:rsid w:val="786A3D6D"/>
    <w:rsid w:val="7896233F"/>
    <w:rsid w:val="78A94AB8"/>
    <w:rsid w:val="78BF5F06"/>
    <w:rsid w:val="78FD7FA4"/>
    <w:rsid w:val="7929591C"/>
    <w:rsid w:val="7A0B10A3"/>
    <w:rsid w:val="7A6223B7"/>
    <w:rsid w:val="7AAB204D"/>
    <w:rsid w:val="7AB362AE"/>
    <w:rsid w:val="7AFD6E85"/>
    <w:rsid w:val="7AFF4A3E"/>
    <w:rsid w:val="7B440F99"/>
    <w:rsid w:val="7B9B7780"/>
    <w:rsid w:val="7B9E0699"/>
    <w:rsid w:val="7BAC3D28"/>
    <w:rsid w:val="7BC0240B"/>
    <w:rsid w:val="7CDC5E93"/>
    <w:rsid w:val="7CE06727"/>
    <w:rsid w:val="7D1765E7"/>
    <w:rsid w:val="7D4E719B"/>
    <w:rsid w:val="7D4F2810"/>
    <w:rsid w:val="7D51082E"/>
    <w:rsid w:val="7D637428"/>
    <w:rsid w:val="7D872E89"/>
    <w:rsid w:val="7D88520A"/>
    <w:rsid w:val="7D8D3472"/>
    <w:rsid w:val="7DC27AEA"/>
    <w:rsid w:val="7DDD6CEA"/>
    <w:rsid w:val="7DEC0D1F"/>
    <w:rsid w:val="7E3A03F9"/>
    <w:rsid w:val="7E554D0F"/>
    <w:rsid w:val="7E636E14"/>
    <w:rsid w:val="7E7F2812"/>
    <w:rsid w:val="7E94378D"/>
    <w:rsid w:val="7ED51702"/>
    <w:rsid w:val="7F185809"/>
    <w:rsid w:val="7FAE4688"/>
    <w:rsid w:val="7FC362BC"/>
    <w:rsid w:val="7FC51C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autoRedefine/>
    <w:qFormat/>
    <w:uiPriority w:val="0"/>
    <w:pPr>
      <w:keepNext/>
      <w:keepLines/>
      <w:spacing w:line="576" w:lineRule="auto"/>
      <w:outlineLvl w:val="0"/>
    </w:pPr>
    <w:rPr>
      <w:rFonts w:hint="eastAsia" w:ascii="宋体" w:hAnsi="宋体"/>
      <w:b/>
      <w:color w:val="000000"/>
      <w:kern w:val="0"/>
      <w:sz w:val="36"/>
      <w:szCs w:val="20"/>
    </w:rPr>
  </w:style>
  <w:style w:type="paragraph" w:styleId="7">
    <w:name w:val="heading 3"/>
    <w:basedOn w:val="1"/>
    <w:next w:val="1"/>
    <w:link w:val="28"/>
    <w:autoRedefine/>
    <w:qFormat/>
    <w:uiPriority w:val="99"/>
    <w:pPr>
      <w:keepNext/>
      <w:keepLines/>
      <w:spacing w:before="260" w:after="260" w:line="416" w:lineRule="auto"/>
      <w:outlineLvl w:val="2"/>
    </w:pPr>
    <w:rPr>
      <w:b/>
      <w:bCs/>
      <w:sz w:val="32"/>
      <w:szCs w:val="32"/>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autoRedefine/>
    <w:qFormat/>
    <w:uiPriority w:val="99"/>
    <w:pPr>
      <w:spacing w:line="420" w:lineRule="atLeast"/>
      <w:textAlignment w:val="baseline"/>
    </w:pPr>
    <w:rPr>
      <w:rFonts w:ascii="Calibri" w:hAnsi="Calibri"/>
    </w:rPr>
  </w:style>
  <w:style w:type="paragraph" w:styleId="3">
    <w:name w:val="Body Text Indent"/>
    <w:basedOn w:val="1"/>
    <w:next w:val="1"/>
    <w:link w:val="32"/>
    <w:autoRedefine/>
    <w:qFormat/>
    <w:uiPriority w:val="99"/>
    <w:pPr>
      <w:spacing w:after="120"/>
      <w:ind w:left="420" w:leftChars="200"/>
    </w:pPr>
  </w:style>
  <w:style w:type="paragraph" w:styleId="4">
    <w:name w:val="Body Text"/>
    <w:basedOn w:val="1"/>
    <w:next w:val="5"/>
    <w:link w:val="31"/>
    <w:autoRedefine/>
    <w:qFormat/>
    <w:uiPriority w:val="99"/>
    <w:pPr>
      <w:spacing w:line="360" w:lineRule="exact"/>
    </w:pPr>
    <w:rPr>
      <w:sz w:val="24"/>
      <w:szCs w:val="24"/>
    </w:rPr>
  </w:style>
  <w:style w:type="paragraph" w:styleId="5">
    <w:name w:val="Body Text First Indent"/>
    <w:basedOn w:val="4"/>
    <w:next w:val="1"/>
    <w:autoRedefine/>
    <w:qFormat/>
    <w:locked/>
    <w:uiPriority w:val="0"/>
    <w:pPr>
      <w:autoSpaceDE w:val="0"/>
      <w:autoSpaceDN w:val="0"/>
      <w:adjustRightInd w:val="0"/>
      <w:spacing w:line="360" w:lineRule="auto"/>
      <w:ind w:firstLine="420" w:firstLineChars="100"/>
    </w:pPr>
  </w:style>
  <w:style w:type="paragraph" w:styleId="8">
    <w:name w:val="List Number"/>
    <w:basedOn w:val="1"/>
    <w:autoRedefine/>
    <w:qFormat/>
    <w:uiPriority w:val="99"/>
    <w:pPr>
      <w:numPr>
        <w:ilvl w:val="0"/>
        <w:numId w:val="1"/>
      </w:numPr>
    </w:pPr>
  </w:style>
  <w:style w:type="paragraph" w:styleId="9">
    <w:name w:val="Normal Indent"/>
    <w:basedOn w:val="1"/>
    <w:autoRedefine/>
    <w:qFormat/>
    <w:uiPriority w:val="99"/>
    <w:pPr>
      <w:ind w:firstLine="420"/>
    </w:pPr>
  </w:style>
  <w:style w:type="paragraph" w:styleId="10">
    <w:name w:val="annotation text"/>
    <w:basedOn w:val="1"/>
    <w:link w:val="29"/>
    <w:autoRedefine/>
    <w:semiHidden/>
    <w:qFormat/>
    <w:uiPriority w:val="99"/>
    <w:pPr>
      <w:jc w:val="left"/>
    </w:pPr>
  </w:style>
  <w:style w:type="paragraph" w:styleId="11">
    <w:name w:val="Plain Text"/>
    <w:basedOn w:val="1"/>
    <w:next w:val="1"/>
    <w:link w:val="33"/>
    <w:autoRedefine/>
    <w:qFormat/>
    <w:uiPriority w:val="99"/>
    <w:rPr>
      <w:rFonts w:ascii="宋体" w:hAnsi="Courier New" w:cs="宋体"/>
    </w:rPr>
  </w:style>
  <w:style w:type="paragraph" w:styleId="12">
    <w:name w:val="Date"/>
    <w:basedOn w:val="1"/>
    <w:next w:val="1"/>
    <w:link w:val="34"/>
    <w:autoRedefine/>
    <w:qFormat/>
    <w:uiPriority w:val="99"/>
    <w:pPr>
      <w:ind w:left="2500" w:leftChars="2500"/>
    </w:pPr>
    <w:rPr>
      <w:rFonts w:ascii="Calibri" w:hAnsi="Calibri" w:eastAsia="楷体_GB2312" w:cs="Calibri"/>
      <w:sz w:val="32"/>
      <w:szCs w:val="32"/>
    </w:rPr>
  </w:style>
  <w:style w:type="paragraph" w:styleId="13">
    <w:name w:val="Balloon Text"/>
    <w:basedOn w:val="1"/>
    <w:link w:val="35"/>
    <w:autoRedefine/>
    <w:semiHidden/>
    <w:qFormat/>
    <w:uiPriority w:val="99"/>
    <w:rPr>
      <w:sz w:val="18"/>
      <w:szCs w:val="18"/>
    </w:rPr>
  </w:style>
  <w:style w:type="paragraph" w:styleId="14">
    <w:name w:val="footer"/>
    <w:basedOn w:val="1"/>
    <w:link w:val="36"/>
    <w:autoRedefine/>
    <w:qFormat/>
    <w:uiPriority w:val="99"/>
    <w:pPr>
      <w:tabs>
        <w:tab w:val="center" w:pos="4153"/>
        <w:tab w:val="right" w:pos="8306"/>
      </w:tabs>
      <w:snapToGrid w:val="0"/>
      <w:jc w:val="left"/>
    </w:pPr>
    <w:rPr>
      <w:sz w:val="18"/>
      <w:szCs w:val="18"/>
    </w:rPr>
  </w:style>
  <w:style w:type="paragraph" w:styleId="15">
    <w:name w:val="header"/>
    <w:basedOn w:val="1"/>
    <w:link w:val="37"/>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6">
    <w:name w:val="toc 6"/>
    <w:basedOn w:val="1"/>
    <w:next w:val="1"/>
    <w:autoRedefine/>
    <w:qFormat/>
    <w:uiPriority w:val="0"/>
    <w:pPr>
      <w:ind w:left="2100" w:leftChars="1000"/>
    </w:pPr>
  </w:style>
  <w:style w:type="paragraph" w:styleId="17">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8">
    <w:name w:val="Title"/>
    <w:basedOn w:val="1"/>
    <w:next w:val="1"/>
    <w:link w:val="63"/>
    <w:autoRedefine/>
    <w:qFormat/>
    <w:uiPriority w:val="10"/>
    <w:pPr>
      <w:autoSpaceDE w:val="0"/>
      <w:autoSpaceDN w:val="0"/>
      <w:adjustRightInd w:val="0"/>
      <w:spacing w:before="240" w:after="60"/>
      <w:jc w:val="center"/>
      <w:outlineLvl w:val="0"/>
    </w:pPr>
    <w:rPr>
      <w:rFonts w:ascii="Cambria" w:hAnsi="Cambria"/>
      <w:b/>
      <w:color w:val="000000"/>
      <w:kern w:val="0"/>
      <w:sz w:val="32"/>
      <w:szCs w:val="32"/>
    </w:rPr>
  </w:style>
  <w:style w:type="paragraph" w:styleId="19">
    <w:name w:val="annotation subject"/>
    <w:basedOn w:val="10"/>
    <w:next w:val="10"/>
    <w:link w:val="30"/>
    <w:autoRedefine/>
    <w:semiHidden/>
    <w:qFormat/>
    <w:uiPriority w:val="99"/>
    <w:rPr>
      <w:b/>
      <w:bCs/>
    </w:rPr>
  </w:style>
  <w:style w:type="table" w:styleId="21">
    <w:name w:val="Table Grid"/>
    <w:basedOn w:val="20"/>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page number"/>
    <w:basedOn w:val="22"/>
    <w:autoRedefine/>
    <w:qFormat/>
    <w:locked/>
    <w:uiPriority w:val="0"/>
  </w:style>
  <w:style w:type="character" w:styleId="24">
    <w:name w:val="Hyperlink"/>
    <w:basedOn w:val="22"/>
    <w:autoRedefine/>
    <w:semiHidden/>
    <w:unhideWhenUsed/>
    <w:qFormat/>
    <w:locked/>
    <w:uiPriority w:val="99"/>
    <w:rPr>
      <w:color w:val="0000FF"/>
      <w:u w:val="single"/>
    </w:rPr>
  </w:style>
  <w:style w:type="character" w:styleId="25">
    <w:name w:val="annotation reference"/>
    <w:basedOn w:val="22"/>
    <w:autoRedefine/>
    <w:semiHidden/>
    <w:qFormat/>
    <w:uiPriority w:val="99"/>
    <w:rPr>
      <w:rFonts w:cs="Times New Roman"/>
      <w:sz w:val="21"/>
      <w:szCs w:val="21"/>
    </w:rPr>
  </w:style>
  <w:style w:type="paragraph" w:customStyle="1" w:styleId="26">
    <w:name w:val="Char"/>
    <w:basedOn w:val="1"/>
    <w:autoRedefine/>
    <w:qFormat/>
    <w:uiPriority w:val="0"/>
    <w:rPr>
      <w:rFonts w:ascii="仿宋_GB2312" w:eastAsia="仿宋_GB2312" w:cs="仿宋_GB2312"/>
      <w:b/>
      <w:bCs/>
      <w:sz w:val="32"/>
      <w:szCs w:val="32"/>
    </w:rPr>
  </w:style>
  <w:style w:type="paragraph" w:customStyle="1" w:styleId="27">
    <w:name w:val="[Normal]"/>
    <w:autoRedefine/>
    <w:qFormat/>
    <w:uiPriority w:val="0"/>
    <w:rPr>
      <w:rFonts w:ascii="宋体" w:hAnsi="宋体" w:eastAsia="宋体" w:cs="Times New Roman"/>
      <w:sz w:val="24"/>
      <w:szCs w:val="22"/>
      <w:lang w:val="zh-CN" w:eastAsia="zh-CN" w:bidi="ar-SA"/>
    </w:rPr>
  </w:style>
  <w:style w:type="character" w:customStyle="1" w:styleId="28">
    <w:name w:val="标题 3 Char"/>
    <w:basedOn w:val="22"/>
    <w:link w:val="7"/>
    <w:autoRedefine/>
    <w:semiHidden/>
    <w:qFormat/>
    <w:locked/>
    <w:uiPriority w:val="99"/>
    <w:rPr>
      <w:rFonts w:cs="Times New Roman"/>
      <w:sz w:val="32"/>
      <w:szCs w:val="32"/>
    </w:rPr>
  </w:style>
  <w:style w:type="character" w:customStyle="1" w:styleId="29">
    <w:name w:val="批注文字 Char"/>
    <w:basedOn w:val="22"/>
    <w:link w:val="10"/>
    <w:autoRedefine/>
    <w:qFormat/>
    <w:locked/>
    <w:uiPriority w:val="99"/>
    <w:rPr>
      <w:rFonts w:ascii="Times New Roman" w:hAnsi="Times New Roman" w:eastAsia="宋体" w:cs="Times New Roman"/>
      <w:kern w:val="2"/>
      <w:sz w:val="24"/>
      <w:szCs w:val="24"/>
    </w:rPr>
  </w:style>
  <w:style w:type="character" w:customStyle="1" w:styleId="30">
    <w:name w:val="批注主题 Char"/>
    <w:basedOn w:val="29"/>
    <w:link w:val="19"/>
    <w:autoRedefine/>
    <w:qFormat/>
    <w:locked/>
    <w:uiPriority w:val="99"/>
  </w:style>
  <w:style w:type="character" w:customStyle="1" w:styleId="31">
    <w:name w:val="正文文本 Char"/>
    <w:basedOn w:val="22"/>
    <w:link w:val="4"/>
    <w:autoRedefine/>
    <w:semiHidden/>
    <w:qFormat/>
    <w:locked/>
    <w:uiPriority w:val="99"/>
    <w:rPr>
      <w:rFonts w:cs="Times New Roman"/>
      <w:sz w:val="21"/>
      <w:szCs w:val="21"/>
    </w:rPr>
  </w:style>
  <w:style w:type="character" w:customStyle="1" w:styleId="32">
    <w:name w:val="正文文本缩进 Char"/>
    <w:basedOn w:val="22"/>
    <w:link w:val="3"/>
    <w:autoRedefine/>
    <w:qFormat/>
    <w:locked/>
    <w:uiPriority w:val="99"/>
    <w:rPr>
      <w:rFonts w:cs="Times New Roman"/>
      <w:kern w:val="2"/>
      <w:sz w:val="24"/>
      <w:szCs w:val="24"/>
    </w:rPr>
  </w:style>
  <w:style w:type="character" w:customStyle="1" w:styleId="33">
    <w:name w:val="纯文本 Char"/>
    <w:basedOn w:val="22"/>
    <w:link w:val="11"/>
    <w:autoRedefine/>
    <w:semiHidden/>
    <w:qFormat/>
    <w:locked/>
    <w:uiPriority w:val="99"/>
    <w:rPr>
      <w:rFonts w:ascii="宋体" w:hAnsi="Courier New" w:cs="Courier New"/>
      <w:sz w:val="21"/>
      <w:szCs w:val="21"/>
    </w:rPr>
  </w:style>
  <w:style w:type="character" w:customStyle="1" w:styleId="34">
    <w:name w:val="日期 Char"/>
    <w:basedOn w:val="22"/>
    <w:link w:val="12"/>
    <w:autoRedefine/>
    <w:semiHidden/>
    <w:qFormat/>
    <w:locked/>
    <w:uiPriority w:val="99"/>
    <w:rPr>
      <w:rFonts w:cs="Times New Roman"/>
      <w:sz w:val="21"/>
      <w:szCs w:val="21"/>
    </w:rPr>
  </w:style>
  <w:style w:type="character" w:customStyle="1" w:styleId="35">
    <w:name w:val="批注框文本 Char"/>
    <w:basedOn w:val="22"/>
    <w:link w:val="13"/>
    <w:autoRedefine/>
    <w:qFormat/>
    <w:locked/>
    <w:uiPriority w:val="99"/>
    <w:rPr>
      <w:rFonts w:ascii="Times New Roman" w:hAnsi="Times New Roman" w:eastAsia="宋体" w:cs="Times New Roman"/>
      <w:kern w:val="2"/>
      <w:sz w:val="18"/>
      <w:szCs w:val="18"/>
    </w:rPr>
  </w:style>
  <w:style w:type="character" w:customStyle="1" w:styleId="36">
    <w:name w:val="页脚 Char"/>
    <w:basedOn w:val="22"/>
    <w:link w:val="14"/>
    <w:autoRedefine/>
    <w:semiHidden/>
    <w:qFormat/>
    <w:locked/>
    <w:uiPriority w:val="99"/>
    <w:rPr>
      <w:rFonts w:cs="Times New Roman"/>
      <w:sz w:val="18"/>
      <w:szCs w:val="18"/>
    </w:rPr>
  </w:style>
  <w:style w:type="character" w:customStyle="1" w:styleId="37">
    <w:name w:val="页眉 Char"/>
    <w:basedOn w:val="22"/>
    <w:link w:val="15"/>
    <w:autoRedefine/>
    <w:semiHidden/>
    <w:qFormat/>
    <w:locked/>
    <w:uiPriority w:val="99"/>
    <w:rPr>
      <w:rFonts w:cs="Times New Roman"/>
      <w:sz w:val="18"/>
      <w:szCs w:val="18"/>
    </w:rPr>
  </w:style>
  <w:style w:type="paragraph" w:customStyle="1" w:styleId="38">
    <w:name w:val="zw"/>
    <w:basedOn w:val="1"/>
    <w:autoRedefine/>
    <w:qFormat/>
    <w:uiPriority w:val="99"/>
    <w:pPr>
      <w:widowControl/>
      <w:spacing w:before="30"/>
      <w:ind w:left="100" w:right="100"/>
    </w:pPr>
    <w:rPr>
      <w:rFonts w:ascii="方正书宋简体" w:hAnsi="宋体" w:eastAsia="方正书宋简体" w:cs="方正书宋简体"/>
      <w:color w:val="000000"/>
      <w:kern w:val="0"/>
    </w:rPr>
  </w:style>
  <w:style w:type="paragraph" w:styleId="39">
    <w:name w:val="List Paragraph"/>
    <w:basedOn w:val="1"/>
    <w:autoRedefine/>
    <w:qFormat/>
    <w:uiPriority w:val="99"/>
    <w:pPr>
      <w:ind w:firstLine="420" w:firstLineChars="200"/>
    </w:pPr>
    <w:rPr>
      <w:rFonts w:ascii="Calibri" w:hAnsi="Calibri" w:cs="Calibri"/>
    </w:rPr>
  </w:style>
  <w:style w:type="paragraph" w:customStyle="1" w:styleId="40">
    <w:name w:val="无间隔1"/>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41">
    <w:name w:val="列出段落1"/>
    <w:basedOn w:val="1"/>
    <w:autoRedefine/>
    <w:qFormat/>
    <w:uiPriority w:val="99"/>
    <w:pPr>
      <w:ind w:firstLine="420" w:firstLineChars="200"/>
    </w:pPr>
    <w:rPr>
      <w:rFonts w:ascii="Calibri" w:hAnsi="Calibri" w:cs="Calibri"/>
      <w:kern w:val="0"/>
    </w:rPr>
  </w:style>
  <w:style w:type="paragraph" w:customStyle="1" w:styleId="42">
    <w:name w:val="无间隔11"/>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43">
    <w:name w:val="reader-word-laye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44">
    <w:name w:val="正文_3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5">
    <w:name w:val="正文_14"/>
    <w:autoRedefine/>
    <w:qFormat/>
    <w:uiPriority w:val="99"/>
    <w:rPr>
      <w:rFonts w:ascii="Times New Roman" w:hAnsi="Times New Roman" w:eastAsia="宋体" w:cs="Times New Roman"/>
      <w:sz w:val="21"/>
      <w:szCs w:val="21"/>
      <w:lang w:val="en-US" w:eastAsia="zh-CN" w:bidi="ar-SA"/>
    </w:rPr>
  </w:style>
  <w:style w:type="paragraph" w:customStyle="1" w:styleId="46">
    <w:name w:val="正文_4"/>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7">
    <w:name w:val="正文_5"/>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8">
    <w:name w:val="正文_1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9">
    <w:name w:val="纯文本_3"/>
    <w:basedOn w:val="48"/>
    <w:autoRedefine/>
    <w:qFormat/>
    <w:uiPriority w:val="99"/>
    <w:pPr>
      <w:widowControl/>
      <w:jc w:val="left"/>
    </w:pPr>
    <w:rPr>
      <w:rFonts w:ascii="宋体" w:hAnsi="Courier New" w:cs="宋体"/>
    </w:rPr>
  </w:style>
  <w:style w:type="paragraph" w:customStyle="1" w:styleId="50">
    <w:name w:val="纯文本_0_1"/>
    <w:basedOn w:val="1"/>
    <w:autoRedefine/>
    <w:qFormat/>
    <w:uiPriority w:val="99"/>
    <w:pPr>
      <w:widowControl/>
      <w:jc w:val="left"/>
    </w:pPr>
    <w:rPr>
      <w:rFonts w:ascii="宋体" w:hAnsi="Courier New" w:cs="宋体"/>
    </w:rPr>
  </w:style>
  <w:style w:type="paragraph" w:customStyle="1" w:styleId="51">
    <w:name w:val="正文_17"/>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2">
    <w:name w:val="正文_2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正文_6"/>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4">
    <w:name w:val="Normal_15"/>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55">
    <w:name w:val="纯文本1"/>
    <w:basedOn w:val="56"/>
    <w:autoRedefine/>
    <w:qFormat/>
    <w:uiPriority w:val="0"/>
    <w:pPr>
      <w:widowControl/>
      <w:jc w:val="left"/>
    </w:pPr>
    <w:rPr>
      <w:rFonts w:ascii="宋体" w:hAnsi="Courier New"/>
    </w:rPr>
  </w:style>
  <w:style w:type="paragraph" w:customStyle="1" w:styleId="56">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7">
    <w:name w:val="表格标题"/>
    <w:basedOn w:val="1"/>
    <w:autoRedefine/>
    <w:qFormat/>
    <w:uiPriority w:val="0"/>
    <w:pPr>
      <w:jc w:val="center"/>
    </w:pPr>
    <w:rPr>
      <w:b/>
    </w:rPr>
  </w:style>
  <w:style w:type="paragraph" w:customStyle="1" w:styleId="58">
    <w:name w:val="正文_8"/>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附件文字"/>
    <w:basedOn w:val="11"/>
    <w:autoRedefine/>
    <w:qFormat/>
    <w:uiPriority w:val="0"/>
    <w:pPr>
      <w:adjustRightInd w:val="0"/>
      <w:snapToGrid w:val="0"/>
      <w:ind w:firstLine="150" w:firstLineChars="150"/>
    </w:pPr>
    <w:rPr>
      <w:rFonts w:ascii="Arial" w:hAnsi="Times New Roman"/>
      <w:snapToGrid w:val="0"/>
      <w:color w:val="000000"/>
      <w:sz w:val="24"/>
    </w:rPr>
  </w:style>
  <w:style w:type="paragraph" w:customStyle="1" w:styleId="60">
    <w:name w:val="WPSOffice手动目录 1"/>
    <w:autoRedefine/>
    <w:qFormat/>
    <w:uiPriority w:val="0"/>
    <w:rPr>
      <w:rFonts w:ascii="Times New Roman" w:hAnsi="Times New Roman" w:eastAsia="宋体" w:cs="Times New Roman"/>
      <w:lang w:val="en-US" w:eastAsia="zh-CN" w:bidi="ar-SA"/>
    </w:rPr>
  </w:style>
  <w:style w:type="paragraph" w:customStyle="1" w:styleId="61">
    <w:name w:val="xl35"/>
    <w:basedOn w:val="1"/>
    <w:autoRedefine/>
    <w:qFormat/>
    <w:uiPriority w:val="0"/>
    <w:pPr>
      <w:widowControl/>
      <w:pBdr>
        <w:left w:val="single" w:color="auto" w:sz="4" w:space="0"/>
        <w:bottom w:val="single" w:color="auto" w:sz="4" w:space="0"/>
        <w:right w:val="single" w:color="auto" w:sz="4" w:space="0"/>
      </w:pBdr>
      <w:spacing w:beforeAutospacing="1" w:afterAutospacing="1"/>
      <w:textAlignment w:val="center"/>
    </w:pPr>
    <w:rPr>
      <w:rFonts w:eastAsia="Times New Roman"/>
      <w:kern w:val="0"/>
      <w:szCs w:val="22"/>
    </w:rPr>
  </w:style>
  <w:style w:type="paragraph" w:customStyle="1" w:styleId="62">
    <w:name w:val="hea"/>
    <w:basedOn w:val="1"/>
    <w:next w:val="1"/>
    <w:autoRedefine/>
    <w:qFormat/>
    <w:uiPriority w:val="0"/>
    <w:pPr>
      <w:keepNext/>
      <w:keepLines/>
      <w:numPr>
        <w:ilvl w:val="0"/>
        <w:numId w:val="2"/>
      </w:numPr>
      <w:spacing w:before="340" w:after="330" w:line="576" w:lineRule="auto"/>
      <w:outlineLvl w:val="0"/>
    </w:pPr>
    <w:rPr>
      <w:rFonts w:hint="eastAsia" w:ascii="宋体"/>
      <w:b/>
      <w:kern w:val="44"/>
      <w:sz w:val="44"/>
      <w:szCs w:val="44"/>
    </w:rPr>
  </w:style>
  <w:style w:type="character" w:customStyle="1" w:styleId="63">
    <w:name w:val="标题 Char"/>
    <w:basedOn w:val="22"/>
    <w:link w:val="18"/>
    <w:autoRedefine/>
    <w:qFormat/>
    <w:uiPriority w:val="10"/>
    <w:rPr>
      <w:rFonts w:ascii="Cambria" w:hAnsi="Cambria"/>
      <w:b/>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3077" textRotate="1"/>
    <customShpInfo spid="_x0000_s3078" textRotate="1"/>
    <customShpInfo spid="_x0000_s3079" textRotate="1"/>
    <customShpInfo spid="_x0000_s3080" textRotate="1"/>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59</Pages>
  <Words>29704</Words>
  <Characters>31541</Characters>
  <Lines>257</Lines>
  <Paragraphs>72</Paragraphs>
  <TotalTime>1</TotalTime>
  <ScaleCrop>false</ScaleCrop>
  <LinksUpToDate>false</LinksUpToDate>
  <CharactersWithSpaces>33673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qx</cp:lastModifiedBy>
  <cp:lastPrinted>2021-04-25T01:36:00Z</cp:lastPrinted>
  <dcterms:modified xsi:type="dcterms:W3CDTF">2024-04-19T06:39:32Z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FFB5E11462994D64865FDB280AADC6D5</vt:lpwstr>
  </property>
</Properties>
</file>