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sz w:val="48"/>
          <w:szCs w:val="48"/>
          <w:lang w:val="en-US" w:eastAsia="zh-CN"/>
        </w:rPr>
      </w:pPr>
      <w:r>
        <w:rPr>
          <w:rFonts w:hint="eastAsia" w:ascii="黑体" w:hAnsi="黑体" w:eastAsia="黑体" w:cs="黑体"/>
          <w:b/>
          <w:sz w:val="48"/>
          <w:szCs w:val="48"/>
          <w:lang w:val="en-US" w:eastAsia="zh-CN"/>
        </w:rPr>
        <w:t>采购需求</w:t>
      </w:r>
      <w:bookmarkStart w:id="5" w:name="_GoBack"/>
      <w:bookmarkEnd w:id="5"/>
    </w:p>
    <w:p>
      <w:pPr>
        <w:rPr>
          <w:rFonts w:hint="eastAsia" w:ascii="黑体" w:hAnsi="黑体" w:eastAsia="黑体" w:cs="黑体"/>
          <w:b/>
          <w:sz w:val="24"/>
          <w:szCs w:val="24"/>
        </w:rPr>
      </w:pPr>
    </w:p>
    <w:p>
      <w:pPr>
        <w:rPr>
          <w:rFonts w:hint="eastAsia" w:ascii="黑体" w:hAnsi="黑体" w:eastAsia="黑体" w:cs="黑体"/>
          <w:b/>
          <w:sz w:val="24"/>
          <w:szCs w:val="24"/>
        </w:rPr>
      </w:pPr>
    </w:p>
    <w:p>
      <w:pPr>
        <w:rPr>
          <w:rFonts w:hint="eastAsia" w:ascii="黑体" w:hAnsi="黑体" w:eastAsia="黑体" w:cs="黑体"/>
          <w:b/>
          <w:sz w:val="24"/>
          <w:szCs w:val="24"/>
        </w:rPr>
      </w:pPr>
      <w:r>
        <w:rPr>
          <w:rFonts w:hint="eastAsia" w:ascii="黑体" w:hAnsi="黑体" w:eastAsia="黑体" w:cs="黑体"/>
          <w:b/>
          <w:sz w:val="24"/>
          <w:szCs w:val="24"/>
        </w:rPr>
        <w:t>1、采购清单：</w:t>
      </w:r>
    </w:p>
    <w:tbl>
      <w:tblPr>
        <w:tblStyle w:val="5"/>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538"/>
        <w:gridCol w:w="1117"/>
        <w:gridCol w:w="1233"/>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2538"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品目</w:t>
            </w:r>
          </w:p>
        </w:tc>
        <w:tc>
          <w:tcPr>
            <w:tcW w:w="111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单位</w:t>
            </w:r>
          </w:p>
        </w:tc>
        <w:tc>
          <w:tcPr>
            <w:tcW w:w="1233"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数量</w:t>
            </w:r>
          </w:p>
        </w:tc>
        <w:tc>
          <w:tcPr>
            <w:tcW w:w="3399" w:type="dxa"/>
            <w:noWrap w:val="0"/>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1</w:t>
            </w:r>
          </w:p>
        </w:tc>
        <w:tc>
          <w:tcPr>
            <w:tcW w:w="2538"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灭鼠毒饵</w:t>
            </w:r>
          </w:p>
        </w:tc>
        <w:tc>
          <w:tcPr>
            <w:tcW w:w="111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kg</w:t>
            </w:r>
          </w:p>
        </w:tc>
        <w:tc>
          <w:tcPr>
            <w:tcW w:w="1233"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35000</w:t>
            </w:r>
          </w:p>
        </w:tc>
        <w:tc>
          <w:tcPr>
            <w:tcW w:w="3399" w:type="dxa"/>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2</w:t>
            </w:r>
          </w:p>
        </w:tc>
        <w:tc>
          <w:tcPr>
            <w:tcW w:w="2538"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毒饵站</w:t>
            </w:r>
          </w:p>
        </w:tc>
        <w:tc>
          <w:tcPr>
            <w:tcW w:w="111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个</w:t>
            </w:r>
          </w:p>
        </w:tc>
        <w:tc>
          <w:tcPr>
            <w:tcW w:w="1233"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15000</w:t>
            </w:r>
          </w:p>
        </w:tc>
        <w:tc>
          <w:tcPr>
            <w:tcW w:w="3399" w:type="dxa"/>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3</w:t>
            </w:r>
          </w:p>
        </w:tc>
        <w:tc>
          <w:tcPr>
            <w:tcW w:w="2538"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蚊蝇蟑螂消杀用药</w:t>
            </w:r>
          </w:p>
        </w:tc>
        <w:tc>
          <w:tcPr>
            <w:tcW w:w="111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L</w:t>
            </w:r>
          </w:p>
        </w:tc>
        <w:tc>
          <w:tcPr>
            <w:tcW w:w="1233"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5000</w:t>
            </w:r>
          </w:p>
        </w:tc>
        <w:tc>
          <w:tcPr>
            <w:tcW w:w="3399" w:type="dxa"/>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4</w:t>
            </w:r>
          </w:p>
        </w:tc>
        <w:tc>
          <w:tcPr>
            <w:tcW w:w="2538"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人员</w:t>
            </w:r>
          </w:p>
        </w:tc>
        <w:tc>
          <w:tcPr>
            <w:tcW w:w="111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人</w:t>
            </w:r>
          </w:p>
        </w:tc>
        <w:tc>
          <w:tcPr>
            <w:tcW w:w="1233"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20</w:t>
            </w:r>
          </w:p>
        </w:tc>
        <w:tc>
          <w:tcPr>
            <w:tcW w:w="3399" w:type="dxa"/>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5</w:t>
            </w:r>
          </w:p>
        </w:tc>
        <w:tc>
          <w:tcPr>
            <w:tcW w:w="2538"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灭蚊灯</w:t>
            </w:r>
          </w:p>
        </w:tc>
        <w:tc>
          <w:tcPr>
            <w:tcW w:w="111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个</w:t>
            </w:r>
          </w:p>
        </w:tc>
        <w:tc>
          <w:tcPr>
            <w:tcW w:w="1233"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50</w:t>
            </w:r>
          </w:p>
        </w:tc>
        <w:tc>
          <w:tcPr>
            <w:tcW w:w="3399" w:type="dxa"/>
            <w:noWrap w:val="0"/>
            <w:vAlign w:val="center"/>
          </w:tcPr>
          <w:p>
            <w:pPr>
              <w:jc w:val="center"/>
              <w:rPr>
                <w:rFonts w:hint="eastAsia" w:ascii="黑体" w:hAnsi="黑体" w:eastAsia="黑体" w:cs="黑体"/>
                <w:sz w:val="24"/>
                <w:szCs w:val="24"/>
              </w:rPr>
            </w:pPr>
            <w:r>
              <w:rPr>
                <w:rFonts w:hint="eastAsia" w:ascii="黑体" w:hAnsi="黑体" w:eastAsia="黑体" w:cs="黑体"/>
                <w:kern w:val="0"/>
                <w:sz w:val="21"/>
                <w:szCs w:val="21"/>
              </w:rPr>
              <w:t>灯具尺寸：310*180*540mm （底部有接虫盒）</w:t>
            </w:r>
            <w:r>
              <w:rPr>
                <w:rFonts w:hint="eastAsia" w:ascii="黑体" w:hAnsi="黑体" w:eastAsia="黑体" w:cs="黑体"/>
                <w:kern w:val="0"/>
                <w:sz w:val="21"/>
                <w:szCs w:val="21"/>
                <w:lang w:eastAsia="zh-CN"/>
              </w:rPr>
              <w:t>；蓄电池：12V/12Ah免维护（内置在杀虫灯顶部）；诱虫光源：诱虫灯（8w）；整机功率：15w；无日照或阴雨天，可工作时间：2晚，每晚5-6小时。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6</w:t>
            </w:r>
          </w:p>
        </w:tc>
        <w:tc>
          <w:tcPr>
            <w:tcW w:w="2538" w:type="dxa"/>
            <w:noWrap w:val="0"/>
            <w:vAlign w:val="center"/>
          </w:tcPr>
          <w:p>
            <w:pPr>
              <w:jc w:val="center"/>
              <w:rPr>
                <w:rFonts w:hint="eastAsia" w:ascii="黑体" w:hAnsi="黑体" w:eastAsia="黑体" w:cs="黑体"/>
                <w:sz w:val="24"/>
                <w:szCs w:val="24"/>
              </w:rPr>
            </w:pPr>
            <w:r>
              <w:rPr>
                <w:rFonts w:hint="eastAsia" w:ascii="黑体" w:hAnsi="黑体" w:eastAsia="黑体" w:cs="黑体"/>
                <w:kern w:val="0"/>
                <w:sz w:val="24"/>
                <w:szCs w:val="24"/>
              </w:rPr>
              <w:t>捕蝇笼</w:t>
            </w:r>
          </w:p>
        </w:tc>
        <w:tc>
          <w:tcPr>
            <w:tcW w:w="111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个</w:t>
            </w:r>
          </w:p>
        </w:tc>
        <w:tc>
          <w:tcPr>
            <w:tcW w:w="1233"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600</w:t>
            </w:r>
          </w:p>
        </w:tc>
        <w:tc>
          <w:tcPr>
            <w:tcW w:w="3399" w:type="dxa"/>
            <w:noWrap w:val="0"/>
            <w:vAlign w:val="center"/>
          </w:tcPr>
          <w:p>
            <w:pPr>
              <w:jc w:val="center"/>
              <w:rPr>
                <w:rFonts w:hint="eastAsia" w:ascii="黑体" w:hAnsi="黑体" w:eastAsia="黑体" w:cs="黑体"/>
                <w:kern w:val="0"/>
                <w:sz w:val="20"/>
                <w:szCs w:val="21"/>
                <w:lang w:val="en-US" w:eastAsia="zh-CN"/>
              </w:rPr>
            </w:pPr>
            <w:r>
              <w:rPr>
                <w:rFonts w:hint="eastAsia" w:ascii="黑体" w:hAnsi="黑体" w:eastAsia="黑体" w:cs="黑体"/>
                <w:kern w:val="0"/>
                <w:sz w:val="20"/>
                <w:szCs w:val="21"/>
                <w:lang w:val="en-US" w:eastAsia="zh-CN"/>
              </w:rPr>
              <w:t>直径：25cm，高度：40cm，椎体高：35cm；进蝇口直径2.5cm。</w:t>
            </w:r>
          </w:p>
          <w:p>
            <w:pPr>
              <w:pStyle w:val="2"/>
              <w:ind w:left="0" w:leftChars="0" w:firstLine="0" w:firstLineChars="0"/>
              <w:rPr>
                <w:rFonts w:hint="default"/>
                <w:lang w:val="en-US"/>
              </w:rPr>
            </w:pPr>
            <w:r>
              <w:rPr>
                <w:rFonts w:hint="eastAsia" w:ascii="黑体" w:hAnsi="黑体" w:eastAsia="黑体" w:cs="黑体"/>
                <w:kern w:val="0"/>
                <w:sz w:val="20"/>
                <w:szCs w:val="21"/>
                <w:lang w:val="en-US" w:eastAsia="zh-CN"/>
              </w:rPr>
              <w:t>支架：dn50不锈钢材质，高170cm,并含有宣传标语。</w:t>
            </w:r>
          </w:p>
        </w:tc>
      </w:tr>
    </w:tbl>
    <w:p>
      <w:pPr>
        <w:rPr>
          <w:rFonts w:hint="eastAsia" w:ascii="黑体" w:hAnsi="黑体" w:eastAsia="黑体" w:cs="黑体"/>
          <w:b/>
          <w:sz w:val="24"/>
          <w:szCs w:val="24"/>
        </w:rPr>
      </w:pPr>
    </w:p>
    <w:p>
      <w:pPr>
        <w:rPr>
          <w:rFonts w:hint="eastAsia" w:ascii="黑体" w:hAnsi="黑体" w:eastAsia="黑体" w:cs="黑体"/>
          <w:b/>
          <w:sz w:val="24"/>
          <w:szCs w:val="24"/>
        </w:rPr>
      </w:pPr>
      <w:r>
        <w:rPr>
          <w:rFonts w:hint="eastAsia" w:ascii="黑体" w:hAnsi="黑体" w:eastAsia="黑体" w:cs="黑体"/>
          <w:b/>
          <w:sz w:val="24"/>
          <w:szCs w:val="24"/>
        </w:rPr>
        <w:t>2、采购项目内容</w:t>
      </w:r>
    </w:p>
    <w:p>
      <w:pPr>
        <w:spacing w:line="360" w:lineRule="auto"/>
        <w:ind w:firstLine="241" w:firstLineChars="100"/>
        <w:rPr>
          <w:rFonts w:hint="eastAsia" w:ascii="黑体" w:hAnsi="黑体" w:eastAsia="黑体" w:cs="黑体"/>
          <w:b/>
          <w:sz w:val="24"/>
          <w:szCs w:val="24"/>
        </w:rPr>
      </w:pPr>
      <w:bookmarkStart w:id="0" w:name="_Toc703"/>
      <w:r>
        <w:rPr>
          <w:rFonts w:hint="eastAsia" w:ascii="黑体" w:hAnsi="黑体" w:eastAsia="黑体" w:cs="黑体"/>
          <w:b/>
          <w:sz w:val="24"/>
          <w:szCs w:val="24"/>
        </w:rPr>
        <w:t>2.1基本情况：</w:t>
      </w:r>
      <w:bookmarkEnd w:id="0"/>
    </w:p>
    <w:p>
      <w:pPr>
        <w:spacing w:line="400" w:lineRule="exact"/>
        <w:ind w:firstLine="480" w:firstLineChars="200"/>
        <w:rPr>
          <w:rFonts w:hint="eastAsia" w:ascii="黑体" w:hAnsi="黑体" w:eastAsia="黑体" w:cs="黑体"/>
          <w:b/>
          <w:sz w:val="24"/>
          <w:szCs w:val="24"/>
          <w:highlight w:val="none"/>
        </w:rPr>
      </w:pPr>
      <w:r>
        <w:rPr>
          <w:rFonts w:hint="eastAsia" w:ascii="黑体" w:hAnsi="黑体" w:eastAsia="黑体" w:cs="黑体"/>
          <w:sz w:val="24"/>
          <w:szCs w:val="24"/>
          <w:highlight w:val="none"/>
        </w:rPr>
        <w:t>鹰潭市城区范围的公共外环境场所开展病媒生物防制服务。</w:t>
      </w:r>
      <w:r>
        <w:rPr>
          <w:rFonts w:hint="eastAsia" w:ascii="黑体" w:hAnsi="黑体" w:eastAsia="黑体" w:cs="黑体"/>
          <w:b w:val="0"/>
          <w:bCs w:val="0"/>
          <w:color w:val="000000"/>
          <w:sz w:val="24"/>
          <w:szCs w:val="24"/>
          <w:highlight w:val="none"/>
          <w:lang w:val="en-US" w:eastAsia="zh-CN"/>
        </w:rPr>
        <w:t>鹰潭建成区内的月湖区和信江新区</w:t>
      </w:r>
      <w:r>
        <w:rPr>
          <w:rFonts w:hint="eastAsia" w:ascii="黑体" w:hAnsi="黑体" w:eastAsia="黑体" w:cs="黑体"/>
          <w:b w:val="0"/>
          <w:bCs w:val="0"/>
          <w:color w:val="000000"/>
          <w:sz w:val="24"/>
          <w:szCs w:val="24"/>
          <w:highlight w:val="none"/>
        </w:rPr>
        <w:t>面积：</w:t>
      </w:r>
      <w:r>
        <w:rPr>
          <w:rFonts w:hint="eastAsia" w:ascii="黑体" w:hAnsi="黑体" w:eastAsia="黑体" w:cs="黑体"/>
          <w:b w:val="0"/>
          <w:bCs w:val="0"/>
          <w:color w:val="000000"/>
          <w:sz w:val="24"/>
          <w:szCs w:val="24"/>
          <w:highlight w:val="none"/>
          <w:lang w:val="en-US" w:eastAsia="zh-CN"/>
        </w:rPr>
        <w:t>3</w:t>
      </w:r>
      <w:r>
        <w:rPr>
          <w:rFonts w:hint="eastAsia" w:ascii="黑体" w:hAnsi="黑体" w:eastAsia="黑体" w:cs="黑体"/>
          <w:b w:val="0"/>
          <w:bCs w:val="0"/>
          <w:color w:val="000000"/>
          <w:sz w:val="24"/>
          <w:szCs w:val="24"/>
          <w:highlight w:val="none"/>
        </w:rPr>
        <w:t>6.76平方公里，</w:t>
      </w:r>
      <w:r>
        <w:rPr>
          <w:rFonts w:hint="eastAsia" w:ascii="黑体" w:hAnsi="黑体" w:eastAsia="黑体" w:cs="黑体"/>
          <w:sz w:val="24"/>
          <w:szCs w:val="24"/>
          <w:highlight w:val="none"/>
        </w:rPr>
        <w:t>范围包含：月湖区、信江新区内的各级道路（含水体堤岸道路）、下水道、无物业管理类型居民区等公共区域、公园、广场、公共绿化带、蚊虫孳生水体、苍蝇孳生地、垃圾站点、果壳箱体、背街小巷、城中村、城乡结合部、建筑工地周边、农贸市场周边、垃圾中转站周边、公共厕所周边等公共外环境。</w:t>
      </w:r>
    </w:p>
    <w:p>
      <w:pPr>
        <w:spacing w:line="360" w:lineRule="auto"/>
        <w:ind w:firstLine="241" w:firstLineChars="100"/>
        <w:rPr>
          <w:rFonts w:hint="eastAsia" w:ascii="黑体" w:hAnsi="黑体" w:eastAsia="黑体" w:cs="黑体"/>
          <w:b/>
          <w:sz w:val="24"/>
          <w:szCs w:val="24"/>
        </w:rPr>
      </w:pPr>
      <w:bookmarkStart w:id="1" w:name="_Toc8330"/>
      <w:r>
        <w:rPr>
          <w:rFonts w:hint="eastAsia" w:ascii="黑体" w:hAnsi="黑体" w:eastAsia="黑体" w:cs="黑体"/>
          <w:b/>
          <w:sz w:val="24"/>
          <w:szCs w:val="24"/>
        </w:rPr>
        <w:t>2.2目标：</w:t>
      </w:r>
      <w:bookmarkEnd w:id="1"/>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根据鹰潭市创建国家卫生城市工作部署和国家卫生城市病媒生物防制达标考核要求，结合鹰潭市创卫区域（建成区）分布的基本概况，经对鹰潭市建成区范围进行现场勘察后，拟对鹰潭市建成区范围创卫区域的病媒生物进行防制工作，通过专业病媒生物防制服务的开展，切实降低鼠、蟑、蚊、蝇等病媒生物密度，预防病媒生物传播疾病，保障群众身体健康，提高城市卫生水平和群众满意度；确保鹰潭市建成区范围内的病媒生物密度标准达到国家标准C级或以上，顺利通过国家卫生城市创建的病媒生物防制项目考核。</w:t>
      </w:r>
    </w:p>
    <w:p>
      <w:pPr>
        <w:spacing w:line="360" w:lineRule="auto"/>
        <w:ind w:firstLine="241" w:firstLineChars="100"/>
        <w:rPr>
          <w:rFonts w:hint="eastAsia" w:ascii="黑体" w:hAnsi="黑体" w:eastAsia="黑体" w:cs="黑体"/>
          <w:b/>
          <w:sz w:val="24"/>
          <w:szCs w:val="24"/>
        </w:rPr>
      </w:pPr>
      <w:bookmarkStart w:id="2" w:name="_Toc9849"/>
      <w:r>
        <w:rPr>
          <w:rFonts w:hint="eastAsia" w:ascii="黑体" w:hAnsi="黑体" w:eastAsia="黑体" w:cs="黑体"/>
          <w:b/>
          <w:sz w:val="24"/>
          <w:szCs w:val="24"/>
        </w:rPr>
        <w:t>2.3项目实施计划：</w:t>
      </w:r>
      <w:bookmarkEnd w:id="2"/>
    </w:p>
    <w:p>
      <w:pPr>
        <w:spacing w:line="360" w:lineRule="auto"/>
        <w:ind w:firstLine="241" w:firstLineChars="100"/>
        <w:rPr>
          <w:rFonts w:hint="eastAsia" w:ascii="黑体" w:hAnsi="黑体" w:eastAsia="黑体" w:cs="黑体"/>
          <w:b/>
          <w:sz w:val="24"/>
          <w:szCs w:val="24"/>
        </w:rPr>
      </w:pPr>
      <w:r>
        <w:rPr>
          <w:rFonts w:hint="eastAsia" w:ascii="黑体" w:hAnsi="黑体" w:eastAsia="黑体" w:cs="黑体"/>
          <w:b/>
          <w:sz w:val="24"/>
          <w:szCs w:val="24"/>
        </w:rPr>
        <w:t>2.3.1本底和孳生地调查：</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为科学有效制订病媒生物防制工作计划，切合实际有效展开相关综合防治工作，在开始病媒生物防制服务消杀工作之前必须先开展建成区范围病媒生物密度本底和孳生地调查以及杀灭前监测，在消杀过程中自评防治效果，并依据评估情况进行及时纠偏，确保综合防制效果。同时形成创卫病媒生物防制台账资料，收集归档。</w:t>
      </w:r>
    </w:p>
    <w:p>
      <w:pPr>
        <w:spacing w:line="360" w:lineRule="auto"/>
        <w:ind w:firstLine="241" w:firstLineChars="100"/>
        <w:rPr>
          <w:rFonts w:hint="eastAsia" w:ascii="黑体" w:hAnsi="黑体" w:eastAsia="黑体" w:cs="黑体"/>
          <w:b/>
          <w:sz w:val="24"/>
          <w:szCs w:val="24"/>
        </w:rPr>
      </w:pPr>
      <w:r>
        <w:rPr>
          <w:rFonts w:hint="eastAsia" w:ascii="黑体" w:hAnsi="黑体" w:eastAsia="黑体" w:cs="黑体"/>
          <w:b/>
          <w:sz w:val="24"/>
          <w:szCs w:val="24"/>
        </w:rPr>
        <w:t>2.3.2消杀范围：</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鹰潭市建成区范围内的各级道路（含水体堤岸道路）、下水道、无物业管理类型居民区等公共区域、公园、广场、公共绿化带、蚊虫孳生水体、苍蝇孳生地、背街小巷、城中村、城乡结合部、垃圾站点、果壳箱体、建筑工地周边、农贸市场周边、垃圾中转站周边、公共厕所周边等公共外环境。</w:t>
      </w:r>
    </w:p>
    <w:p>
      <w:pPr>
        <w:spacing w:line="360" w:lineRule="auto"/>
        <w:ind w:firstLine="241" w:firstLineChars="100"/>
        <w:rPr>
          <w:rFonts w:hint="eastAsia" w:ascii="黑体" w:hAnsi="黑体" w:eastAsia="黑体" w:cs="黑体"/>
          <w:b/>
          <w:sz w:val="24"/>
          <w:szCs w:val="24"/>
        </w:rPr>
      </w:pPr>
      <w:r>
        <w:rPr>
          <w:rFonts w:hint="eastAsia" w:ascii="黑体" w:hAnsi="黑体" w:eastAsia="黑体" w:cs="黑体"/>
          <w:b/>
          <w:sz w:val="24"/>
          <w:szCs w:val="24"/>
        </w:rPr>
        <w:t>2.3.3病媒生物防制作业要求：</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（1）落实建成区域的公共外环境病媒生物防制工作，确保按计划在各区域进行全方位的灭鼠、灭蚊、灭蝇、灭蟑螂作业，确保达到国家标准C级。</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（2）坚持“预防为主，综合防治”的消杀方针，确保使用国家规定或国家爱卫会认定和推荐的药物。对病媒生物防制药物建立进出登记台账，并取得“三证（</w:t>
      </w:r>
      <w:r>
        <w:rPr>
          <w:rFonts w:hint="eastAsia" w:ascii="黑体" w:hAnsi="黑体" w:eastAsia="黑体" w:cs="黑体"/>
          <w:sz w:val="24"/>
          <w:szCs w:val="24"/>
          <w:lang w:val="zh-CN"/>
        </w:rPr>
        <w:t>产品农药登记证、生产许可证或农药生产批准证书、企业执行标准证书</w:t>
      </w:r>
      <w:r>
        <w:rPr>
          <w:rFonts w:hint="eastAsia" w:ascii="黑体" w:hAnsi="黑体" w:eastAsia="黑体" w:cs="黑体"/>
          <w:sz w:val="24"/>
          <w:szCs w:val="24"/>
        </w:rPr>
        <w:t>）”。病媒生物防制作业时要注意安全用药，废弃药物和包装及死鼠等要妥善处理，防止污染。</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（3）病媒生物防制工作人员需经培训后持证上岗，按照病媒生物防制工作的法规标准，规范操作。作业时必须统一服装、统一标准，做到安全作业、文明作业。</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（4）在各村（居）等区域的公共外环境进行病媒生物防制作业时，重点解决基层群众反映的病媒生物问题。</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（5）做好每次病媒生物防制工作的记录，登记时间、处理位置、用药量等数据，并拍摄现场照片。</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（6）安排专人负责巡查和在创卫区域开展病媒生物防制效果跟踪检查，并根据实际效果调整用药品种、剂量、配方、时间。</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（7）于合同签订后立即进行一次大规模的孳生地调查和病媒生物密度监测，并将孳生地情况、密度监测和相关环境问题等详细资料汇总成册报市爱卫办。</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（8）合同签订后立即开展一次大规模病媒生物消杀防制工作，迅速降低建成区内病媒生物密度。</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（9）在完成首次全方位病媒生物防制工作后，组织对防制区域全面安装毒饵站、捕蝇笼、灭蚊灯和堵塞鼠洞等工作，并张贴标签（警示）牌等标识标语。必须对其进行日常维护，毒饵料必须常年保持新鲜。</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（10）对创建区内的重点孳生地进行全面巡检和治理。</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（11）在创卫调研、暗访和明查期间，根据通知各进行一次全范围的重点病媒生物防制和突击治理工作。</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（12）合同期间应配合创卫办组织的大规模环境整治行动，在行动前或市级的突击、应急检查前配合做好病媒生物防制工作。</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（13）配合市疾控中心开展病媒生物密度监测工作。</w:t>
      </w:r>
    </w:p>
    <w:p>
      <w:pPr>
        <w:pStyle w:val="3"/>
        <w:ind w:left="0" w:leftChars="0" w:firstLine="0" w:firstLineChars="0"/>
        <w:rPr>
          <w:rFonts w:hint="eastAsia" w:ascii="黑体" w:hAnsi="黑体" w:eastAsia="黑体" w:cs="黑体"/>
          <w:lang w:val="en-US" w:eastAsia="zh-CN"/>
        </w:rPr>
      </w:pPr>
    </w:p>
    <w:p>
      <w:pPr>
        <w:spacing w:line="360" w:lineRule="auto"/>
        <w:ind w:firstLine="241" w:firstLineChars="100"/>
        <w:rPr>
          <w:rFonts w:hint="eastAsia" w:ascii="黑体" w:hAnsi="黑体" w:eastAsia="黑体" w:cs="黑体"/>
          <w:b/>
          <w:sz w:val="24"/>
          <w:szCs w:val="24"/>
        </w:rPr>
      </w:pPr>
      <w:bookmarkStart w:id="3" w:name="_Toc21357"/>
      <w:r>
        <w:rPr>
          <w:rFonts w:hint="eastAsia" w:ascii="黑体" w:hAnsi="黑体" w:eastAsia="黑体" w:cs="黑体"/>
          <w:b/>
          <w:sz w:val="24"/>
          <w:szCs w:val="24"/>
        </w:rPr>
        <w:t>2.4服务内容和要求：</w:t>
      </w:r>
      <w:bookmarkEnd w:id="3"/>
    </w:p>
    <w:p>
      <w:pPr>
        <w:widowControl/>
        <w:spacing w:line="400" w:lineRule="exact"/>
        <w:ind w:firstLine="480" w:firstLineChars="200"/>
        <w:jc w:val="left"/>
        <w:rPr>
          <w:rFonts w:hint="eastAsia" w:ascii="黑体" w:hAnsi="黑体" w:eastAsia="黑体" w:cs="黑体"/>
          <w:sz w:val="24"/>
          <w:szCs w:val="24"/>
        </w:rPr>
      </w:pPr>
      <w:r>
        <w:rPr>
          <w:rFonts w:hint="eastAsia" w:ascii="黑体" w:hAnsi="黑体" w:eastAsia="黑体" w:cs="黑体"/>
          <w:sz w:val="24"/>
          <w:szCs w:val="24"/>
        </w:rPr>
        <w:t>在服务区内全面铺开进行病媒生物防制专项整治，投放灭鼠药饵，开展蚊、蝇、蟑的药物消杀，包括喷洒灭蚊蝇药物，熏杀下水道蟑螂，道路两侧灭蚊、蝇、公共区域积水等水体灭蚊</w:t>
      </w:r>
      <w:r>
        <w:rPr>
          <w:rFonts w:hint="eastAsia" w:ascii="黑体" w:hAnsi="黑体" w:eastAsia="黑体" w:cs="黑体"/>
          <w:sz w:val="24"/>
          <w:szCs w:val="24"/>
          <w:shd w:val="clear" w:color="auto" w:fill="FFFFFF"/>
        </w:rPr>
        <w:t>孑孓</w:t>
      </w:r>
      <w:r>
        <w:rPr>
          <w:rFonts w:hint="eastAsia" w:ascii="黑体" w:hAnsi="黑体" w:eastAsia="黑体" w:cs="黑体"/>
          <w:sz w:val="24"/>
          <w:szCs w:val="24"/>
        </w:rPr>
        <w:t>、垃圾等孳生地灭蝇幼虫。按相关要求布放灭鼠毒饵站，</w:t>
      </w:r>
      <w:r>
        <w:rPr>
          <w:rFonts w:hint="eastAsia" w:ascii="黑体" w:hAnsi="黑体" w:eastAsia="黑体" w:cs="黑体"/>
          <w:kern w:val="0"/>
          <w:sz w:val="24"/>
          <w:szCs w:val="24"/>
        </w:rPr>
        <w:t>鼠药、灭蚊灯、捕蝇笼和堵塞鼠洞等。</w:t>
      </w:r>
    </w:p>
    <w:p>
      <w:pPr>
        <w:widowControl/>
        <w:spacing w:line="400" w:lineRule="exact"/>
        <w:ind w:firstLine="480" w:firstLineChars="200"/>
        <w:jc w:val="left"/>
        <w:rPr>
          <w:rFonts w:hint="eastAsia" w:ascii="黑体" w:hAnsi="黑体" w:eastAsia="黑体" w:cs="黑体"/>
          <w:kern w:val="0"/>
          <w:sz w:val="24"/>
          <w:szCs w:val="24"/>
        </w:rPr>
      </w:pPr>
      <w:r>
        <w:rPr>
          <w:rFonts w:hint="eastAsia" w:ascii="黑体" w:hAnsi="黑体" w:eastAsia="黑体" w:cs="黑体"/>
          <w:kern w:val="0"/>
          <w:sz w:val="24"/>
          <w:szCs w:val="24"/>
        </w:rPr>
        <w:t>(1)、每年为</w:t>
      </w:r>
      <w:r>
        <w:rPr>
          <w:rFonts w:hint="eastAsia" w:ascii="黑体" w:hAnsi="黑体" w:eastAsia="黑体" w:cs="黑体"/>
          <w:kern w:val="0"/>
          <w:sz w:val="24"/>
          <w:szCs w:val="24"/>
          <w:lang w:val="en-US" w:eastAsia="zh-CN"/>
        </w:rPr>
        <w:t>1</w:t>
      </w:r>
      <w:r>
        <w:rPr>
          <w:rFonts w:hint="eastAsia" w:ascii="黑体" w:hAnsi="黑体" w:eastAsia="黑体" w:cs="黑体"/>
          <w:kern w:val="0"/>
          <w:sz w:val="24"/>
          <w:szCs w:val="24"/>
        </w:rPr>
        <w:t>个防制服务周期，除日常防制外</w:t>
      </w:r>
      <w:r>
        <w:rPr>
          <w:rFonts w:hint="eastAsia" w:ascii="黑体" w:hAnsi="黑体" w:eastAsia="黑体" w:cs="黑体"/>
          <w:color w:val="auto"/>
          <w:kern w:val="0"/>
          <w:sz w:val="24"/>
          <w:szCs w:val="24"/>
          <w:lang w:val="en-US" w:eastAsia="zh-CN"/>
        </w:rPr>
        <w:t>每年开展8次</w:t>
      </w:r>
      <w:r>
        <w:rPr>
          <w:rFonts w:hint="eastAsia" w:ascii="黑体" w:hAnsi="黑体" w:eastAsia="黑体" w:cs="黑体"/>
          <w:kern w:val="0"/>
          <w:sz w:val="24"/>
          <w:szCs w:val="24"/>
        </w:rPr>
        <w:t>全覆盖集中防制工作（防制内容、时间安排具体以采购单位通知为准）。日常防制须根据“四害”消长季节规律进行防制工作（</w:t>
      </w:r>
      <w:r>
        <w:rPr>
          <w:rFonts w:hint="eastAsia" w:ascii="黑体" w:hAnsi="黑体" w:eastAsia="黑体" w:cs="黑体"/>
          <w:kern w:val="0"/>
          <w:sz w:val="24"/>
          <w:szCs w:val="24"/>
          <w:lang w:val="en-US" w:eastAsia="zh-CN"/>
        </w:rPr>
        <w:t>3</w:t>
      </w:r>
      <w:r>
        <w:rPr>
          <w:rFonts w:hint="eastAsia" w:ascii="黑体" w:hAnsi="黑体" w:eastAsia="黑体" w:cs="黑体"/>
          <w:kern w:val="0"/>
          <w:sz w:val="24"/>
          <w:szCs w:val="24"/>
        </w:rPr>
        <w:t>-1</w:t>
      </w:r>
      <w:r>
        <w:rPr>
          <w:rFonts w:hint="eastAsia" w:ascii="黑体" w:hAnsi="黑体" w:eastAsia="黑体" w:cs="黑体"/>
          <w:kern w:val="0"/>
          <w:sz w:val="24"/>
          <w:szCs w:val="24"/>
          <w:lang w:val="en-US" w:eastAsia="zh-CN"/>
        </w:rPr>
        <w:t>0</w:t>
      </w:r>
      <w:r>
        <w:rPr>
          <w:rFonts w:hint="eastAsia" w:ascii="黑体" w:hAnsi="黑体" w:eastAsia="黑体" w:cs="黑体"/>
          <w:kern w:val="0"/>
          <w:sz w:val="24"/>
          <w:szCs w:val="24"/>
        </w:rPr>
        <w:t xml:space="preserve">月份每月至少 </w:t>
      </w:r>
      <w:r>
        <w:rPr>
          <w:rFonts w:hint="eastAsia" w:ascii="黑体" w:hAnsi="黑体" w:eastAsia="黑体" w:cs="黑体"/>
          <w:kern w:val="0"/>
          <w:sz w:val="24"/>
          <w:szCs w:val="24"/>
          <w:lang w:val="en-US" w:eastAsia="zh-CN"/>
        </w:rPr>
        <w:t>1</w:t>
      </w:r>
      <w:r>
        <w:rPr>
          <w:rFonts w:hint="eastAsia" w:ascii="黑体" w:hAnsi="黑体" w:eastAsia="黑体" w:cs="黑体"/>
          <w:kern w:val="0"/>
          <w:sz w:val="24"/>
          <w:szCs w:val="24"/>
        </w:rPr>
        <w:t xml:space="preserve"> 次,11-</w:t>
      </w:r>
      <w:r>
        <w:rPr>
          <w:rFonts w:hint="eastAsia" w:ascii="黑体" w:hAnsi="黑体" w:eastAsia="黑体" w:cs="黑体"/>
          <w:kern w:val="0"/>
          <w:sz w:val="24"/>
          <w:szCs w:val="24"/>
          <w:lang w:val="en-US" w:eastAsia="zh-CN"/>
        </w:rPr>
        <w:t>2</w:t>
      </w:r>
      <w:r>
        <w:rPr>
          <w:rFonts w:hint="eastAsia" w:ascii="黑体" w:hAnsi="黑体" w:eastAsia="黑体" w:cs="黑体"/>
          <w:kern w:val="0"/>
          <w:sz w:val="24"/>
          <w:szCs w:val="24"/>
        </w:rPr>
        <w:t xml:space="preserve"> 月每</w:t>
      </w:r>
      <w:r>
        <w:rPr>
          <w:rFonts w:hint="eastAsia" w:ascii="黑体" w:hAnsi="黑体" w:eastAsia="黑体" w:cs="黑体"/>
          <w:kern w:val="0"/>
          <w:sz w:val="24"/>
          <w:szCs w:val="24"/>
          <w:lang w:val="en-US" w:eastAsia="zh-CN"/>
        </w:rPr>
        <w:t>两</w:t>
      </w:r>
      <w:r>
        <w:rPr>
          <w:rFonts w:hint="eastAsia" w:ascii="黑体" w:hAnsi="黑体" w:eastAsia="黑体" w:cs="黑体"/>
          <w:kern w:val="0"/>
          <w:sz w:val="24"/>
          <w:szCs w:val="24"/>
        </w:rPr>
        <w:t xml:space="preserve">月至少 1 次,）。防制工作必须保证全年的鼠、蚊、蝇、蟑螂密度达到国家病媒生物密度控制水平标准 C 级要求； </w:t>
      </w:r>
    </w:p>
    <w:p>
      <w:pPr>
        <w:pStyle w:val="4"/>
        <w:spacing w:after="0" w:line="400" w:lineRule="exact"/>
        <w:ind w:left="0" w:leftChars="0"/>
        <w:rPr>
          <w:rFonts w:hint="eastAsia" w:ascii="黑体" w:hAnsi="黑体" w:eastAsia="黑体" w:cs="黑体"/>
          <w:sz w:val="24"/>
          <w:szCs w:val="24"/>
        </w:rPr>
      </w:pPr>
      <w:r>
        <w:rPr>
          <w:rFonts w:hint="eastAsia" w:ascii="黑体" w:hAnsi="黑体" w:eastAsia="黑体" w:cs="黑体"/>
          <w:sz w:val="24"/>
          <w:szCs w:val="24"/>
        </w:rPr>
        <w:t>（2）每次大面积统一突击除四害活动中要零散投药，并免费提供除四害药品给各区爱卫办用于城区纯居民户药物消杀，全年免费提供灭鼠药40000包（50克/包），灭蚊药20000包，灭蟑药20000包）；</w:t>
      </w:r>
    </w:p>
    <w:p>
      <w:pPr>
        <w:pStyle w:val="4"/>
        <w:spacing w:after="0" w:line="400" w:lineRule="exact"/>
        <w:ind w:left="0" w:leftChars="0"/>
        <w:rPr>
          <w:rFonts w:hint="eastAsia" w:ascii="黑体" w:hAnsi="黑体" w:eastAsia="黑体" w:cs="黑体"/>
          <w:sz w:val="24"/>
          <w:szCs w:val="24"/>
        </w:rPr>
      </w:pPr>
      <w:r>
        <w:rPr>
          <w:rFonts w:hint="eastAsia" w:ascii="黑体" w:hAnsi="黑体" w:eastAsia="黑体" w:cs="黑体"/>
          <w:sz w:val="24"/>
          <w:szCs w:val="24"/>
        </w:rPr>
        <w:t>（3）外环境灭鼠毒饵盒布置要数量充足、放置规范；灭鼠毒饵盒要设置醒目警示</w:t>
      </w:r>
    </w:p>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rPr>
        <w:t>及标志，张贴毒饵盒分布示意图，毒饵盒每月进行一至两次投放和更换鼠药。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黑体"/>
          <w:lang w:eastAsia="zh-CN"/>
        </w:rPr>
      </w:pPr>
      <w:r>
        <w:rPr>
          <w:rFonts w:hint="eastAsia" w:ascii="黑体" w:hAnsi="黑体" w:eastAsia="黑体" w:cs="黑体"/>
          <w:sz w:val="24"/>
          <w:szCs w:val="24"/>
          <w:lang w:val="en-US" w:eastAsia="zh-CN"/>
        </w:rPr>
        <w:t xml:space="preserve">    （4）突发公共卫生应急事件环境消杀工作（含登革热等病媒生物引发相关疫情应急处置、洪涝等灾害后病媒生物应急处置）</w:t>
      </w:r>
      <w:r>
        <w:rPr>
          <w:rFonts w:hint="default" w:ascii="黑体" w:hAnsi="黑体" w:eastAsia="黑体" w:cs="黑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黑体" w:hAnsi="黑体" w:eastAsia="黑体" w:cs="黑体"/>
          <w:b/>
          <w:sz w:val="24"/>
          <w:szCs w:val="24"/>
        </w:rPr>
      </w:pPr>
      <w:bookmarkStart w:id="4" w:name="_Toc14905"/>
      <w:r>
        <w:rPr>
          <w:rFonts w:hint="eastAsia" w:ascii="黑体" w:hAnsi="黑体" w:eastAsia="黑体" w:cs="黑体"/>
          <w:b/>
          <w:sz w:val="24"/>
          <w:szCs w:val="24"/>
        </w:rPr>
        <w:t>2.5相关服务标准：</w:t>
      </w:r>
      <w:bookmarkEnd w:id="4"/>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（1）病媒生物防制质量标准</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监测标准：《&lt;中华人民共和国国家标准（GB/T 23796-2009）病媒生物密度监测方法蝇类》、《中华人民共和国国家标准（GB/T 23797-2009）病媒生物密度监测方法蚊虫》、《中华人民共和国国家标准（GB/T 23798-2009）病媒生物密度监测方法鼠类》、《中华人民共和国国家标准（GB/T 23795-2009）病媒生物密度监测方法蜚蠊》。</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控制水平标准：《中华人民共和国国家标准（GB/T 27773-2011）病媒生物密度控制水平蜚蠊》、《中华人民共和国国家标准（GB/T 27772-2011）病媒生物密度控制水平蝇类》、《中华人民共和国国家标准（GB/T 27771-2011）病媒生物密度控制水平蚊虫》、《中华人民共和国国家标准（GB/T 27770-2011）病媒生物密度控制水平鼠类》。</w:t>
      </w:r>
    </w:p>
    <w:p>
      <w:pPr>
        <w:spacing w:line="400" w:lineRule="exact"/>
        <w:ind w:firstLine="482" w:firstLineChars="200"/>
        <w:rPr>
          <w:rFonts w:hint="eastAsia" w:ascii="黑体" w:hAnsi="黑体" w:eastAsia="黑体" w:cs="黑体"/>
          <w:color w:val="000000"/>
          <w:sz w:val="24"/>
          <w:szCs w:val="24"/>
        </w:rPr>
      </w:pPr>
      <w:r>
        <w:rPr>
          <w:rFonts w:hint="eastAsia" w:ascii="黑体" w:hAnsi="黑体" w:eastAsia="黑体" w:cs="黑体"/>
          <w:b/>
          <w:color w:val="000000"/>
          <w:sz w:val="24"/>
          <w:szCs w:val="24"/>
        </w:rPr>
        <w:t>用药标准：</w:t>
      </w:r>
      <w:r>
        <w:rPr>
          <w:rFonts w:hint="eastAsia" w:ascii="黑体" w:hAnsi="黑体" w:eastAsia="黑体" w:cs="黑体"/>
          <w:color w:val="000000"/>
          <w:sz w:val="24"/>
          <w:szCs w:val="24"/>
        </w:rPr>
        <w:t>必须注重科学合理用药，不得使用国家禁用的药物，并须确保药物来源和质量正当可靠。使用的药物必须符合 GB/T7777-2011 《杀鼠剂安全使用准则》与 GB/T27779-2011《卫生杀虫剂安全使用准则》等要求，使用器械必须符合国家规定的相关要求，达到“科学、安全、高效、环保”。</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（2）使用及提供用于本项目的药品及服务符合下列标准：</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a.病媒生物防制所用药品及投放方式应符合国家和地方有关法律、法规和政策的规定，药物生产证书齐全且不会影响甲方的安全，并征得甲方的同意。投放方式：按国家相关标准进行投放。</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b.保证所用的药品具有产品安全资料（MSDS）或国家农业部颁发的许可证并符合相关标准。</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3）在开展杀虫灭鼠活动时应提前通知甲方，并发放投（喷）药宣传单，以便甲方进行安排及配合工作，施药现场应摆放警示牌,在开展杀虫灭鼠活动前必须和相关单位联系，由相关单位安排人员提供协助和监督消杀情况。</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4）蚊、蝇消杀：孳生地投放灭幼药剂，重点部位及害虫栖息场所进行药物滞留喷洒和空间喷雾，药品均采用国家相关部门批准使用的高效低毒卫生杀虫药剂；宣传并指导相关村民和居民做好防蚊、防蝇工作，消除孳生地，做到重点区域重点监控，发现问题及时处理的施工原则。</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5）灭鼠药械统一投放，进行多轮统一投药，即：灭鼠重点区域为各级道路、下水道、农贸市场周边、公厕周边、垃圾中转站及周边、无物业管理居民区、广场、公共绿化带、果皮箱、鼠洞、鼠道等，对老鼠活动和容易孳生栖息的地点等作为灭鼠防鼠工作重点，原则上投药必须投入固定鼠穴、毒鼠屋或相对隐蔽的区域和地点，选用药物为第二代抗凝血剂灭鼠毒饵，确保安全高效，严禁使用国家禁止使用的灭鼠药物，并将加大对服务范围内各单位、各居民区人员的宣传介绍，提供药物保障和24小时的技术支撑。</w:t>
      </w:r>
    </w:p>
    <w:p>
      <w:pPr>
        <w:spacing w:line="400" w:lineRule="exact"/>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a.灭鼠毒饵站：陶瓷毒饵站表面上釉，长30cm，高10cm，宽10cm ,毒饵站口径7cm，毒饵站外表面应有彩色的警示标示。毒饵站应按合同约定足量投放，且合同约定量为暂估数量，以投放区域实际需求量为准，并及时对遗失、损坏的毒饵站进行补充，保证毒饵站的总量。</w:t>
      </w:r>
    </w:p>
    <w:p>
      <w:pPr>
        <w:spacing w:line="400" w:lineRule="exact"/>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b.成交单位提供的灭鼠服务，毒饵投放覆盖率、到位率、饱和率及灭效均≥80%。</w:t>
      </w:r>
    </w:p>
    <w:p>
      <w:pPr>
        <w:spacing w:line="400" w:lineRule="exact"/>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c.毒饵施放应准确到位防止人、畜、禽、鸟等误食误服。保证作业安全、规范，无责任事故发生。</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6）下水道的灭蟑灭虫：街道和背街小巷周边等害虫侵犯点需进行下水道的灭蟑灭虫工作，药品采用国家相关部门批准使用的卫生杀虫药剂；这些街道四害孳生的点主要是下水道、农贸市场周边、公厕周边、垃圾中转站及周边、公共绿化带及周边等。</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7）按相关要求在区域内完成固定毒饵站布放。毒饵站应根据孳生地调查和病媒生物密度监测结果设置在有鼠迹、位置隐蔽、人员稀少、不引人注目的地方沿墙等位置布放，在主次街路、人行道等人员集中的地方布放时应慎重；要求在公共区域的背街小巷、无物业管理老旧社区、老旧居民区以及城乡结合部、城中村、公园、广场、垃圾箱（屋、桶）周边、农贸市场周边、垃圾中转站周边、公厕周边等选取适宜位置布放固定毒饵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ZmFmYWM4YmU2ZjVhZmI5MTY5ZDA5NGFlNDQzOTAifQ=="/>
  </w:docVars>
  <w:rsids>
    <w:rsidRoot w:val="00000000"/>
    <w:rsid w:val="6FBF3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Calibri" w:hAnsi="Calibri" w:eastAsia="宋体" w:cs="Times New Roman"/>
      <w:szCs w:val="24"/>
    </w:r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Body Text First Indent 2"/>
    <w:basedOn w:val="1"/>
    <w:next w:val="1"/>
    <w:qFormat/>
    <w:uiPriority w:val="0"/>
    <w:pPr>
      <w:spacing w:after="120" w:line="480" w:lineRule="exact"/>
      <w:ind w:left="420" w:leftChars="200"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2024-04-23T06:15:45Z</dcterms:created>
  <dc:creator>Administrator</dc:creator>
  <cp:lastModifiedBy>Administrator</cp:lastModifiedBy>
  <dcterms:modified xsi:type="dcterms:W3CDTF">2024-04-23T06:18:58Z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9E7C4D786C844042B128D62882C6C1CC_12</vt:lpwstr>
  </property>
</Properties>
</file>