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宋体"/>
          <w:sz w:val="72"/>
          <w:szCs w:val="44"/>
        </w:rPr>
      </w:pPr>
      <w:r>
        <w:rPr>
          <w:rFonts w:hint="eastAsia" w:ascii="方正小标宋简体" w:hAnsi="方正小标宋简体" w:eastAsia="方正小标宋简体" w:cs="宋体"/>
          <w:sz w:val="72"/>
          <w:szCs w:val="44"/>
        </w:rPr>
        <w:t>政府采购项目</w:t>
      </w:r>
    </w:p>
    <w:p>
      <w:pPr>
        <w:jc w:val="center"/>
        <w:rPr>
          <w:rFonts w:ascii="方正小标宋简体" w:hAnsi="方正小标宋简体" w:eastAsia="方正小标宋简体" w:cs="宋体"/>
          <w:sz w:val="72"/>
          <w:szCs w:val="44"/>
        </w:rPr>
      </w:pPr>
      <w:r>
        <w:rPr>
          <w:rFonts w:hint="eastAsia" w:ascii="方正小标宋简体" w:hAnsi="方正小标宋简体" w:eastAsia="方正小标宋简体" w:cs="宋体"/>
          <w:sz w:val="72"/>
          <w:szCs w:val="44"/>
        </w:rPr>
        <w:t>采 购 需 求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ascii="方正小标宋简体" w:hAnsi="方正小标宋简体" w:eastAsia="方正小标宋简体"/>
          <w:sz w:val="32"/>
          <w:szCs w:val="32"/>
        </w:rPr>
        <w:t>项目名称</w:t>
      </w:r>
      <w:r>
        <w:rPr>
          <w:rFonts w:hint="eastAsia" w:ascii="方正小标宋简体" w:hAnsi="方正小标宋简体" w:eastAsia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牟平区水利工程白蚁等害堤动物防治项目</w:t>
      </w:r>
    </w:p>
    <w:p>
      <w:pP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采购单位：</w:t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烟台市牟平区水务局</w:t>
      </w:r>
    </w:p>
    <w:p>
      <w:pP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编制单位：</w:t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烟台市牟平区水务局</w:t>
      </w:r>
    </w:p>
    <w:p>
      <w:pPr>
        <w:rPr>
          <w:rFonts w:hint="default" w:ascii="方正小标宋简体" w:hAnsi="方正小标宋简体" w:eastAsia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编制时间：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eastAsia="zh-CN"/>
        </w:rPr>
        <w:t>2024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>.04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一、需求调查情况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（一）是否开展需求调查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本项目无需开展需求调查，不属于《政府采购需求管理办法》第十一条规定的情形。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（二）需求调查方式：  /   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（三）需求调查对象：  /   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（四）需求调查结果：  /   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二、需求清单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（一）项目概况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本项目划分为1个包，牟平区水利工程白蚁等害堤动物防治项目。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（二）采购项目预（概）算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政府采购预算：采购控制价预算为34万元。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（三）采购标的汇总表</w:t>
      </w:r>
    </w:p>
    <w:tbl>
      <w:tblPr>
        <w:tblStyle w:val="6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2023"/>
        <w:gridCol w:w="1728"/>
        <w:gridCol w:w="912"/>
        <w:gridCol w:w="86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包号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标的名称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品目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分类编码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计量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牟平区水利工程白蚁等害堤动物防治项目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C12020100水库管理服务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宗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（四）技术商务要求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一、项目说明：本项目为牟平区水利工程白蚁等害堤动物防治项目服务，供应商须对采购内容全部响应，报价若有遗漏，视为包含在其他单价或合价中，均应按磋商文件提供，总报价即为交付使用的价格。</w:t>
      </w:r>
    </w:p>
    <w:p>
      <w:pPr>
        <w:snapToGrid w:val="0"/>
        <w:spacing w:line="520" w:lineRule="exact"/>
        <w:ind w:firstLine="482"/>
        <w:textAlignment w:val="center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二、服务范围: 组织对78座小型水库、174公里堤防等水利工程（详见水利工程名单）白蚁等害堤动物进行危害检查，精准实施危害治理和监测，及时发现并消除隐患；一是汛前组织完成白蚁、獾等害堤动物危害及防治情况全覆盖普查，摸清害堤动物种类、活动规律、危害程度和发展趋势等，并编制完成白蚁等害堤动物调查与评估报告；二是根据白蚁等害堤动物调查情况开展防治，并编制完成白蚁等害堤动物防治报告。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三、服务要求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注：1、汛前组织完成白蚁、獾等害堤动物危害及防治情况全覆盖普查，摸清害堤动物种类、活动规律、危害程度和发展趋势等。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2、汛期和主汛期前分别开展全面排查开展白蚁、獾等害堤动物日常检查排查，并消除隐患。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3、根据《水利工程白蚁防治技术指南（试行）》开展白蚁等害堤动物检查与监测、防治等。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4、以上技术要求为本项目的基本要求，供应商可选用相当于或优于以上技术要求的服务，同时填写技术规范偏离表。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5、服务内容不得变更。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四、承担单位的职责：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（一）开展现场排查、检查工作；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（二）按有关技术标准要求白蚁等害堤动物调查与评估报告，白蚁等害堤动物防治报告；报告文本必须做到清晰、完整、尺寸齐全、准确，类型尽量统一，量度单位按照公制标准；报告打印装订美观整齐；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（三）按招标人的审查意见，补充完成相关工作，修改相关报告；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（四）成果的编制必须严格执行有关国家法律、法规、规范、标准、规程、定额和合同的要求；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（五）成果依据的基本资料应完整、准确、可靠、成果方案论证充分，可靠；</w:t>
      </w:r>
    </w:p>
    <w:p>
      <w:pPr>
        <w:snapToGrid w:val="0"/>
        <w:spacing w:line="520" w:lineRule="exact"/>
        <w:ind w:firstLine="482"/>
        <w:textAlignment w:val="center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（六）每个阶段成果，必须满足国家有关规范、标准的要求，并应提交采购人认可。</w:t>
      </w:r>
    </w:p>
    <w:p>
      <w:pPr>
        <w:spacing w:line="520" w:lineRule="exact"/>
        <w:ind w:firstLine="420" w:firstLineChars="200"/>
        <w:textAlignment w:val="center"/>
        <w:rPr>
          <w:rFonts w:hint="eastAsia" w:ascii="宋体" w:hAnsi="宋体" w:eastAsia="宋体" w:cs="仿宋_GB2312"/>
          <w:color w:val="auto"/>
          <w:kern w:val="0"/>
          <w:szCs w:val="21"/>
          <w:highlight w:val="none"/>
          <w:lang w:val="en-US" w:eastAsia="zh-CN" w:bidi="ar"/>
        </w:rPr>
      </w:pPr>
    </w:p>
    <w:p>
      <w:pPr>
        <w:spacing w:line="520" w:lineRule="exact"/>
        <w:ind w:firstLine="420" w:firstLineChars="200"/>
        <w:textAlignment w:val="center"/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 w:bidi="ar"/>
        </w:rPr>
        <w:t>附件：小型水库和堤防名称清单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136"/>
        <w:gridCol w:w="1296"/>
        <w:gridCol w:w="920"/>
        <w:gridCol w:w="2136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工程等别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工程等别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八甲水库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鞠家庄水库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北石缸水库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大窑水库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刘家沟水库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柳家水库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浩岭水库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六甲水库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辉寨水库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龙劈水库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辽上水库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芦其洼鸭夼水库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路西垛山水库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落金水库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磨山南沟水库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南红石头水库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青松水库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念头东沟水库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清泉埠水库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沙家南沟水库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生花庵水库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山前草夼水库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苏家口水库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山前东夼水库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屯车夼水库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上费水库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下杨家水库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上潘东夼水库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新愚公水库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上王格庄东夼水库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徐村水库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序班庄水库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汤西黄泥台水库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洼里东沟水库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院下水库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瓦善西北夼水库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朱车水库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瓦善于家茔水库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八甲南山牛劈水库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王从曲双峰山水库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北税目卧龙水库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王家窑水库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北岘龙门寺水库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西埠水库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埠后疃龙王庙水库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西蒋家水库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大张家夼北夼水库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阎家疃水库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东石桥水库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杨家夼后夼水库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陡崖艾沟水库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永安庄水库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官道南西夼水库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嵎峡河水库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贵家庄西北夼水库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玉林店水库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韩家疃水库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张家沟水库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韩家庄水库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张皮南夼水库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河北崖东沟水库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下朱车水库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金家埠凉泉水库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自格庄喇叭夼水库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酒馆水库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自格庄小岛水库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富岭水库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</w:tr>
    </w:tbl>
    <w:p>
      <w:pPr>
        <w:pStyle w:val="3"/>
        <w:keepLines/>
        <w:spacing w:line="520" w:lineRule="exact"/>
        <w:jc w:val="center"/>
        <w:textAlignment w:val="center"/>
        <w:rPr>
          <w:rFonts w:hint="eastAsia" w:ascii="仿宋" w:hAnsi="仿宋" w:eastAsia="仿宋" w:cs="仿宋"/>
          <w:bCs/>
          <w:kern w:val="44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bCs/>
          <w:kern w:val="44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tbl>
      <w:tblPr>
        <w:tblStyle w:val="6"/>
        <w:tblW w:w="0" w:type="auto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83"/>
        <w:gridCol w:w="1300"/>
        <w:gridCol w:w="1300"/>
        <w:gridCol w:w="1900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堤防名称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工程等别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堤防名称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工程等别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大沽夹河牟平段右岸堤防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沁水河堤防（左岸）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大沽夹河牟平段左岸堤防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汉河堤防（右岸）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黄垒河左岸堤防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汉河堤防（左岸）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黄垒河右岸堤防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广河堤防（右岸）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鱼鸟河下游右岸堤防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广河堤防（左岸）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沁水河堤防（右岸）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水道河堤防（右岸）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水道河堤防（左岸）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松椒河堤防（右岸）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辛安河堤防（左岸）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松椒河堤防（左岸）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辛安河堤防（右岸）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2、商务要求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iCs/>
          <w:sz w:val="32"/>
          <w:szCs w:val="32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一）供应商资格要求：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iCs/>
          <w:sz w:val="32"/>
          <w:szCs w:val="32"/>
          <w:lang w:val="zh-CN"/>
        </w:rPr>
        <w:t>供应商须具备《中华人民共和国政府采购法》第二十二条规定的条件：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Cs/>
          <w:sz w:val="32"/>
          <w:szCs w:val="32"/>
        </w:rPr>
        <w:t>在中国境内注册，具有独立承担民事责任能力的法人或者其他组织或自然人；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（2）具有良好的商业信誉和健全的财务会计制度；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（3）具有履行合同所必需的设备和专业技术能力；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（4）有依法缴纳税收和社会保障资金的良好记录；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（5）参加采购活动前3年内在经营活动中没有重大违法记录的书面声明；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（6）无不良信用信息记录；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（7）本项目不接受联合体报价。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（8）落实政府采购政策需满足的资格要求：按照《关于印发&lt;政府采购促进中小企业发展管理办法&gt;的通知》（财库[2020]46号文）要求，本项目专门面向中小企业采购（在政府采购活动中，残疾人福利性单位、监狱企业视同小型、微型企业，享受预留份额等政府采购促进中小企业发展的政府采购政策），需提供中小企业声明函。供应商在满足上述条件的同时，应符合《政府采购促进中小企业发展管理办法》和《中小企业划型标准规定》规定的中小企业划分标准。本项目根据《关于印发中小企业划型标准规定的通知》（工信部联企业[2011]300号）文件规定，按其他未列明行业标准确定企业类型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(9)本项目的特定资格要求：\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  <w:lang w:val="zh-CN"/>
        </w:rPr>
        <w:t>2.2</w:t>
      </w:r>
      <w:r>
        <w:rPr>
          <w:rFonts w:hint="eastAsia" w:ascii="仿宋" w:hAnsi="仿宋" w:eastAsia="仿宋" w:cs="仿宋"/>
          <w:iCs/>
          <w:sz w:val="32"/>
          <w:szCs w:val="32"/>
        </w:rPr>
        <w:t xml:space="preserve">付款方式：合同签订后支付合同价款的10%，项目服务完成并验收合格后余款付清。      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2.3服务期限：自合同签订之日起60日历天内完成。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Cs/>
          <w:sz w:val="32"/>
          <w:szCs w:val="32"/>
        </w:rPr>
      </w:pPr>
      <w:r>
        <w:rPr>
          <w:rFonts w:hint="eastAsia" w:ascii="仿宋" w:hAnsi="仿宋" w:eastAsia="仿宋" w:cs="仿宋"/>
          <w:iCs/>
          <w:sz w:val="32"/>
          <w:szCs w:val="32"/>
        </w:rPr>
        <w:t>2.4售后服务响应时间：对采购人所反映的问题在 1 小时之内做出及时响应，在2小时之内解决问题。</w:t>
      </w:r>
    </w:p>
    <w:p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zkxNTQ2NzgyMDBhZGE2ODAwZjJmMzEwNTI4MWEifQ=="/>
  </w:docVars>
  <w:rsids>
    <w:rsidRoot w:val="00000000"/>
    <w:rsid w:val="0A7E6D11"/>
    <w:rsid w:val="3B610945"/>
    <w:rsid w:val="4026607F"/>
    <w:rsid w:val="43EE09F1"/>
    <w:rsid w:val="5E3A42AE"/>
    <w:rsid w:val="6EB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next w:val="1"/>
    <w:qFormat/>
    <w:uiPriority w:val="99"/>
    <w:pPr>
      <w:spacing w:after="120" w:afterLines="0"/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2024-02-21T06:13:00Z</dcterms:created>
  <dc:creator>admin</dc:creator>
  <cp:lastModifiedBy>广泉</cp:lastModifiedBy>
  <dcterms:modified xsi:type="dcterms:W3CDTF">2024-04-24T01:31:22Z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FC1FDF6B0E6C4F36899E3F2987385020_12</vt:lpwstr>
  </property>
</Properties>
</file>