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Chars="-135" w:right="-483" w:rightChars="-227" w:hanging="453" w:hangingChars="94"/>
        <w:jc w:val="center"/>
        <w:rPr>
          <w:rFonts w:hint="eastAsia" w:ascii="宋体" w:hAnsi="宋体" w:cs="宋体"/>
          <w:b/>
          <w:bCs/>
          <w:kern w:val="36"/>
          <w:sz w:val="48"/>
          <w:szCs w:val="48"/>
        </w:rPr>
      </w:pPr>
    </w:p>
    <w:p>
      <w:pPr>
        <w:pStyle w:val="13"/>
        <w:rPr>
          <w:rFonts w:hint="eastAsia"/>
        </w:rPr>
      </w:pPr>
    </w:p>
    <w:p>
      <w:pPr>
        <w:widowControl/>
        <w:spacing w:line="360" w:lineRule="auto"/>
        <w:ind w:leftChars="-135" w:right="-483" w:rightChars="-227" w:hanging="415" w:hangingChars="94"/>
        <w:jc w:val="center"/>
        <w:rPr>
          <w:rFonts w:hint="eastAsia" w:ascii="宋体" w:hAnsi="宋体" w:eastAsia="宋体" w:cs="宋体"/>
          <w:b/>
          <w:bCs/>
          <w:kern w:val="36"/>
          <w:sz w:val="44"/>
          <w:szCs w:val="44"/>
          <w:lang w:eastAsia="zh-CN"/>
        </w:rPr>
      </w:pPr>
      <w:r>
        <w:rPr>
          <w:rFonts w:hint="eastAsia" w:ascii="宋体" w:hAnsi="宋体" w:cs="宋体"/>
          <w:b/>
          <w:bCs/>
          <w:kern w:val="36"/>
          <w:sz w:val="44"/>
          <w:szCs w:val="44"/>
          <w:lang w:eastAsia="zh-CN"/>
        </w:rPr>
        <w:t>2024年西塘桥街道公共环境病媒生物防治服务</w:t>
      </w:r>
    </w:p>
    <w:p>
      <w:pPr>
        <w:widowControl/>
        <w:spacing w:line="360" w:lineRule="auto"/>
        <w:ind w:leftChars="-135" w:right="-483" w:rightChars="-227" w:hanging="284" w:hangingChars="94"/>
        <w:jc w:val="center"/>
        <w:rPr>
          <w:rFonts w:hint="eastAsia" w:ascii="宋体" w:hAnsi="宋体" w:cs="宋体"/>
          <w:b/>
          <w:bCs/>
          <w:kern w:val="36"/>
          <w:sz w:val="30"/>
          <w:szCs w:val="30"/>
        </w:rPr>
      </w:pPr>
    </w:p>
    <w:p>
      <w:pPr>
        <w:pStyle w:val="13"/>
        <w:rPr>
          <w:rFonts w:hint="eastAsia" w:ascii="宋体" w:hAnsi="宋体" w:cs="宋体"/>
          <w:b/>
          <w:bCs/>
          <w:kern w:val="36"/>
          <w:sz w:val="30"/>
          <w:szCs w:val="30"/>
        </w:rPr>
      </w:pPr>
    </w:p>
    <w:p>
      <w:pPr>
        <w:rPr>
          <w:rFonts w:hint="eastAsia" w:ascii="宋体" w:hAnsi="宋体" w:cs="宋体"/>
          <w:b/>
          <w:bCs/>
          <w:kern w:val="36"/>
          <w:sz w:val="30"/>
          <w:szCs w:val="30"/>
        </w:rPr>
      </w:pPr>
    </w:p>
    <w:p>
      <w:pPr>
        <w:pStyle w:val="13"/>
        <w:rPr>
          <w:rFonts w:hint="eastAsia"/>
        </w:rPr>
      </w:pPr>
    </w:p>
    <w:p>
      <w:pPr>
        <w:snapToGrid w:val="0"/>
        <w:spacing w:line="360" w:lineRule="auto"/>
        <w:jc w:val="center"/>
        <w:rPr>
          <w:rFonts w:hint="eastAsia" w:ascii="宋体" w:hAnsi="宋体" w:cs="宋体"/>
          <w:b/>
          <w:bCs/>
          <w:w w:val="95"/>
          <w:sz w:val="48"/>
          <w:szCs w:val="48"/>
        </w:rPr>
      </w:pPr>
      <w:r>
        <w:rPr>
          <w:rFonts w:hint="eastAsia" w:ascii="宋体" w:hAnsi="宋体" w:cs="宋体"/>
          <w:b/>
          <w:bCs/>
          <w:w w:val="95"/>
          <w:sz w:val="48"/>
          <w:szCs w:val="48"/>
        </w:rPr>
        <w:t>竞争性磋商文件</w:t>
      </w:r>
    </w:p>
    <w:p>
      <w:pPr>
        <w:snapToGrid w:val="0"/>
        <w:ind w:firstLine="1653" w:firstLineChars="615"/>
        <w:rPr>
          <w:rFonts w:hint="eastAsia" w:ascii="宋体" w:hAnsi="宋体" w:cs="宋体"/>
          <w:b/>
          <w:bCs/>
          <w:w w:val="95"/>
          <w:sz w:val="28"/>
          <w:szCs w:val="28"/>
        </w:rPr>
      </w:pPr>
    </w:p>
    <w:p>
      <w:pPr>
        <w:snapToGrid w:val="0"/>
        <w:ind w:firstLine="1653" w:firstLineChars="615"/>
        <w:rPr>
          <w:rFonts w:hint="eastAsia" w:ascii="宋体" w:hAnsi="宋体" w:cs="宋体"/>
          <w:b/>
          <w:bCs/>
          <w:w w:val="95"/>
          <w:sz w:val="28"/>
          <w:szCs w:val="28"/>
        </w:rPr>
      </w:pPr>
    </w:p>
    <w:p>
      <w:pPr>
        <w:snapToGrid w:val="0"/>
        <w:ind w:firstLine="1770" w:firstLineChars="615"/>
        <w:rPr>
          <w:rFonts w:hint="eastAsia" w:ascii="宋体" w:hAnsi="宋体" w:cs="宋体"/>
          <w:b/>
          <w:bCs/>
          <w:w w:val="95"/>
          <w:sz w:val="30"/>
          <w:szCs w:val="30"/>
        </w:rPr>
      </w:pPr>
    </w:p>
    <w:p>
      <w:pPr>
        <w:snapToGrid w:val="0"/>
        <w:ind w:firstLine="1770" w:firstLineChars="615"/>
        <w:rPr>
          <w:rFonts w:hint="eastAsia" w:ascii="宋体" w:hAnsi="宋体" w:cs="宋体"/>
          <w:b/>
          <w:bCs/>
          <w:w w:val="95"/>
          <w:sz w:val="30"/>
          <w:szCs w:val="30"/>
        </w:rPr>
      </w:pPr>
    </w:p>
    <w:p>
      <w:pPr>
        <w:snapToGrid w:val="0"/>
        <w:ind w:firstLine="1770" w:firstLineChars="615"/>
        <w:rPr>
          <w:rFonts w:hint="eastAsia" w:ascii="宋体" w:hAnsi="宋体" w:cs="宋体"/>
          <w:b/>
          <w:bCs/>
          <w:w w:val="95"/>
          <w:sz w:val="30"/>
          <w:szCs w:val="30"/>
        </w:rPr>
      </w:pPr>
    </w:p>
    <w:p>
      <w:pPr>
        <w:spacing w:line="480" w:lineRule="auto"/>
        <w:ind w:firstLine="1060" w:firstLineChars="350"/>
        <w:rPr>
          <w:rFonts w:hint="eastAsia" w:ascii="宋体" w:hAnsi="宋体" w:cs="宋体"/>
          <w:b/>
          <w:sz w:val="30"/>
          <w:szCs w:val="30"/>
          <w:lang w:eastAsia="zh-CN"/>
        </w:rPr>
      </w:pPr>
      <w:r>
        <w:rPr>
          <w:rFonts w:hint="eastAsia" w:ascii="宋体" w:hAnsi="宋体" w:cs="宋体"/>
          <w:b/>
          <w:sz w:val="30"/>
          <w:szCs w:val="30"/>
        </w:rPr>
        <w:t>项目编号：</w:t>
      </w:r>
      <w:r>
        <w:rPr>
          <w:rFonts w:hint="eastAsia" w:ascii="宋体" w:hAnsi="宋体" w:cs="宋体"/>
          <w:b/>
          <w:sz w:val="30"/>
          <w:szCs w:val="30"/>
          <w:lang w:eastAsia="zh-CN"/>
        </w:rPr>
        <w:t>嘉鼎晟采〔2024〕027号</w:t>
      </w:r>
    </w:p>
    <w:p>
      <w:pPr>
        <w:spacing w:line="480" w:lineRule="auto"/>
        <w:ind w:firstLine="1060" w:firstLineChars="350"/>
        <w:rPr>
          <w:rFonts w:hint="eastAsia" w:ascii="宋体" w:hAnsi="宋体" w:cs="宋体"/>
          <w:b/>
          <w:sz w:val="30"/>
          <w:szCs w:val="30"/>
        </w:rPr>
      </w:pPr>
      <w:r>
        <w:rPr>
          <w:rFonts w:hint="eastAsia" w:ascii="宋体" w:hAnsi="宋体" w:cs="宋体"/>
          <w:b/>
          <w:sz w:val="30"/>
          <w:szCs w:val="30"/>
        </w:rPr>
        <w:t>采购方式：竞争性磋商</w:t>
      </w:r>
    </w:p>
    <w:p>
      <w:pPr>
        <w:spacing w:line="480" w:lineRule="auto"/>
        <w:ind w:firstLine="1060" w:firstLineChars="350"/>
        <w:rPr>
          <w:rFonts w:hint="eastAsia" w:ascii="宋体" w:hAnsi="宋体" w:eastAsia="宋体" w:cs="宋体"/>
          <w:b/>
          <w:sz w:val="30"/>
          <w:szCs w:val="30"/>
          <w:lang w:eastAsia="zh-CN"/>
        </w:rPr>
      </w:pPr>
      <w:r>
        <w:rPr>
          <w:rFonts w:hint="eastAsia" w:ascii="宋体" w:hAnsi="宋体" w:cs="宋体"/>
          <w:b/>
          <w:sz w:val="30"/>
          <w:szCs w:val="30"/>
        </w:rPr>
        <w:t>采购单位：</w:t>
      </w:r>
      <w:r>
        <w:rPr>
          <w:rFonts w:hint="eastAsia" w:ascii="宋体" w:hAnsi="宋体" w:cs="宋体"/>
          <w:b/>
          <w:sz w:val="30"/>
          <w:szCs w:val="30"/>
          <w:lang w:eastAsia="zh-CN"/>
        </w:rPr>
        <w:t>浙江省海盐经济开发区管理委员会</w:t>
      </w:r>
    </w:p>
    <w:p>
      <w:pPr>
        <w:spacing w:line="480" w:lineRule="auto"/>
        <w:ind w:firstLine="1060" w:firstLineChars="350"/>
        <w:rPr>
          <w:rFonts w:hint="eastAsia" w:ascii="宋体" w:hAnsi="宋体" w:eastAsia="宋体" w:cs="宋体"/>
          <w:b/>
          <w:sz w:val="30"/>
          <w:szCs w:val="30"/>
          <w:lang w:eastAsia="zh-CN"/>
        </w:rPr>
      </w:pPr>
      <w:r>
        <w:rPr>
          <w:rFonts w:hint="eastAsia" w:ascii="宋体" w:hAnsi="宋体" w:cs="宋体"/>
          <w:b/>
          <w:sz w:val="30"/>
          <w:szCs w:val="30"/>
        </w:rPr>
        <w:t>代理机构：</w:t>
      </w:r>
      <w:r>
        <w:rPr>
          <w:rFonts w:hint="eastAsia" w:ascii="宋体" w:hAnsi="宋体" w:cs="宋体"/>
          <w:b/>
          <w:sz w:val="30"/>
          <w:szCs w:val="30"/>
          <w:lang w:eastAsia="zh-CN"/>
        </w:rPr>
        <w:t>嘉兴鼎晟工程管理有限公司</w:t>
      </w:r>
    </w:p>
    <w:p>
      <w:pPr>
        <w:spacing w:line="480" w:lineRule="auto"/>
        <w:ind w:firstLine="2878" w:firstLineChars="950"/>
        <w:rPr>
          <w:rFonts w:hint="eastAsia" w:ascii="宋体" w:hAnsi="宋体" w:cs="宋体"/>
          <w:b/>
          <w:sz w:val="30"/>
          <w:szCs w:val="30"/>
        </w:rPr>
      </w:pPr>
      <w:r>
        <w:rPr>
          <w:rFonts w:hint="eastAsia" w:ascii="宋体" w:hAnsi="宋体" w:cs="宋体"/>
          <w:b/>
          <w:sz w:val="30"/>
          <w:szCs w:val="30"/>
        </w:rPr>
        <w:t>202</w:t>
      </w:r>
      <w:r>
        <w:rPr>
          <w:rFonts w:hint="eastAsia" w:ascii="宋体" w:hAnsi="宋体" w:cs="宋体"/>
          <w:b/>
          <w:sz w:val="30"/>
          <w:szCs w:val="30"/>
          <w:lang w:val="en-US" w:eastAsia="zh-CN"/>
        </w:rPr>
        <w:t>4</w:t>
      </w:r>
      <w:r>
        <w:rPr>
          <w:rFonts w:hint="eastAsia" w:ascii="宋体" w:hAnsi="宋体" w:cs="宋体"/>
          <w:b/>
          <w:sz w:val="30"/>
          <w:szCs w:val="30"/>
        </w:rPr>
        <w:t>年</w:t>
      </w:r>
      <w:r>
        <w:rPr>
          <w:rFonts w:hint="eastAsia" w:ascii="宋体" w:hAnsi="宋体" w:cs="宋体"/>
          <w:b/>
          <w:sz w:val="30"/>
          <w:szCs w:val="30"/>
          <w:lang w:val="en-US" w:eastAsia="zh-CN"/>
        </w:rPr>
        <w:t>04</w:t>
      </w:r>
      <w:r>
        <w:rPr>
          <w:rFonts w:hint="eastAsia" w:ascii="宋体" w:hAnsi="宋体" w:cs="宋体"/>
          <w:b/>
          <w:sz w:val="30"/>
          <w:szCs w:val="30"/>
        </w:rPr>
        <w:t>月</w:t>
      </w:r>
      <w:r>
        <w:rPr>
          <w:rFonts w:hint="eastAsia" w:ascii="宋体" w:hAnsi="宋体" w:cs="宋体"/>
          <w:b/>
          <w:sz w:val="30"/>
          <w:szCs w:val="30"/>
          <w:lang w:val="en-US" w:eastAsia="zh-CN"/>
        </w:rPr>
        <w:t>01</w:t>
      </w:r>
      <w:r>
        <w:rPr>
          <w:rFonts w:hint="eastAsia" w:ascii="宋体" w:hAnsi="宋体" w:cs="宋体"/>
          <w:b/>
          <w:sz w:val="30"/>
          <w:szCs w:val="30"/>
        </w:rPr>
        <w:t>日</w:t>
      </w:r>
    </w:p>
    <w:p>
      <w:pPr>
        <w:rPr>
          <w:rFonts w:ascii="Arial" w:hAnsi="Arial" w:cs="Arial"/>
          <w:b/>
          <w:sz w:val="40"/>
          <w:szCs w:val="32"/>
        </w:rPr>
      </w:pPr>
      <w:r>
        <w:rPr>
          <w:rFonts w:ascii="Arial" w:hAnsi="Arial" w:cs="Arial"/>
          <w:b/>
          <w:sz w:val="40"/>
          <w:szCs w:val="32"/>
        </w:rPr>
        <w:br w:type="page"/>
      </w:r>
    </w:p>
    <w:p>
      <w:pPr>
        <w:spacing w:line="276" w:lineRule="auto"/>
        <w:jc w:val="center"/>
        <w:rPr>
          <w:rFonts w:ascii="Arial" w:hAnsi="Arial" w:cs="Arial"/>
          <w:b/>
          <w:sz w:val="40"/>
          <w:szCs w:val="32"/>
        </w:rPr>
      </w:pPr>
      <w:r>
        <w:rPr>
          <w:rFonts w:ascii="Arial" w:hAnsi="Arial" w:cs="Arial"/>
          <w:b/>
          <w:sz w:val="40"/>
          <w:szCs w:val="32"/>
        </w:rPr>
        <w:t>目</w:t>
      </w:r>
      <w:r>
        <w:rPr>
          <w:rFonts w:hint="eastAsia" w:ascii="Arial" w:hAnsi="Arial" w:cs="Arial"/>
          <w:b/>
          <w:sz w:val="40"/>
          <w:szCs w:val="32"/>
          <w:lang w:val="en-US" w:eastAsia="zh-CN"/>
        </w:rPr>
        <w:t xml:space="preserve">  </w:t>
      </w:r>
      <w:r>
        <w:rPr>
          <w:rFonts w:ascii="Arial" w:hAnsi="Arial" w:cs="Arial"/>
          <w:b/>
          <w:sz w:val="40"/>
          <w:szCs w:val="32"/>
        </w:rPr>
        <w:t>录</w:t>
      </w:r>
    </w:p>
    <w:p>
      <w:pPr>
        <w:spacing w:line="276" w:lineRule="auto"/>
        <w:jc w:val="center"/>
        <w:rPr>
          <w:rFonts w:ascii="Arial" w:hAnsi="Arial" w:cs="Arial"/>
          <w:b/>
          <w:sz w:val="40"/>
          <w:szCs w:val="32"/>
        </w:rPr>
      </w:pPr>
    </w:p>
    <w:p>
      <w:pPr>
        <w:pStyle w:val="21"/>
        <w:tabs>
          <w:tab w:val="right" w:leader="dot" w:pos="9015"/>
          <w:tab w:val="clear" w:pos="8948"/>
        </w:tabs>
      </w:pPr>
      <w:r>
        <w:rPr>
          <w:rFonts w:cs="Arial"/>
          <w:b w:val="0"/>
          <w:kern w:val="2"/>
          <w:sz w:val="28"/>
          <w:szCs w:val="28"/>
        </w:rPr>
        <w:fldChar w:fldCharType="begin"/>
      </w:r>
      <w:r>
        <w:rPr>
          <w:rFonts w:cs="Arial"/>
          <w:b w:val="0"/>
          <w:kern w:val="2"/>
          <w:sz w:val="28"/>
          <w:szCs w:val="28"/>
        </w:rPr>
        <w:instrText xml:space="preserve"> TOC \o "1-3" \h \z \u </w:instrText>
      </w:r>
      <w:r>
        <w:rPr>
          <w:rFonts w:cs="Arial"/>
          <w:b w:val="0"/>
          <w:kern w:val="2"/>
          <w:sz w:val="28"/>
          <w:szCs w:val="28"/>
        </w:rPr>
        <w:fldChar w:fldCharType="separate"/>
      </w:r>
      <w:r>
        <w:rPr>
          <w:rFonts w:cs="Arial"/>
          <w:kern w:val="2"/>
          <w:szCs w:val="28"/>
        </w:rPr>
        <w:fldChar w:fldCharType="begin"/>
      </w:r>
      <w:r>
        <w:rPr>
          <w:rFonts w:cs="Arial"/>
          <w:kern w:val="2"/>
          <w:szCs w:val="28"/>
        </w:rPr>
        <w:instrText xml:space="preserve"> HYPERLINK \l _Toc16313 </w:instrText>
      </w:r>
      <w:r>
        <w:rPr>
          <w:rFonts w:cs="Arial"/>
          <w:kern w:val="2"/>
          <w:szCs w:val="28"/>
        </w:rPr>
        <w:fldChar w:fldCharType="separate"/>
      </w:r>
      <w:r>
        <w:rPr>
          <w:rFonts w:ascii="Arial" w:hAnsi="Arial" w:cs="Arial"/>
          <w:szCs w:val="36"/>
        </w:rPr>
        <w:t>第一部分采购公告</w:t>
      </w:r>
      <w:r>
        <w:tab/>
      </w:r>
      <w:r>
        <w:fldChar w:fldCharType="begin"/>
      </w:r>
      <w:r>
        <w:instrText xml:space="preserve"> PAGEREF _Toc16313 \h </w:instrText>
      </w:r>
      <w:r>
        <w:fldChar w:fldCharType="separate"/>
      </w:r>
      <w:r>
        <w:t>3</w:t>
      </w:r>
      <w:r>
        <w:fldChar w:fldCharType="end"/>
      </w:r>
      <w:r>
        <w:rPr>
          <w:rFonts w:cs="Arial"/>
          <w:kern w:val="2"/>
          <w:szCs w:val="28"/>
        </w:rPr>
        <w:fldChar w:fldCharType="end"/>
      </w:r>
    </w:p>
    <w:p>
      <w:pPr>
        <w:pStyle w:val="21"/>
        <w:tabs>
          <w:tab w:val="right" w:leader="dot" w:pos="9015"/>
          <w:tab w:val="clear" w:pos="8948"/>
        </w:tabs>
      </w:pPr>
      <w:r>
        <w:rPr>
          <w:rFonts w:cs="Arial"/>
          <w:kern w:val="2"/>
        </w:rPr>
        <w:fldChar w:fldCharType="begin"/>
      </w:r>
      <w:r>
        <w:rPr>
          <w:rFonts w:cs="Arial"/>
          <w:kern w:val="2"/>
        </w:rPr>
        <w:instrText xml:space="preserve"> HYPERLINK \l _Toc29022 </w:instrText>
      </w:r>
      <w:r>
        <w:rPr>
          <w:rFonts w:cs="Arial"/>
          <w:kern w:val="2"/>
        </w:rPr>
        <w:fldChar w:fldCharType="separate"/>
      </w:r>
      <w:r>
        <w:rPr>
          <w:rFonts w:ascii="Arial" w:hAnsi="Arial" w:cs="Arial"/>
          <w:szCs w:val="36"/>
        </w:rPr>
        <w:t>第二部分</w:t>
      </w:r>
      <w:r>
        <w:rPr>
          <w:rFonts w:hint="eastAsia" w:ascii="Arial" w:hAnsi="Arial" w:cs="Arial"/>
          <w:szCs w:val="36"/>
          <w:lang w:val="en-US" w:eastAsia="zh-CN"/>
        </w:rPr>
        <w:t xml:space="preserve"> </w:t>
      </w:r>
      <w:r>
        <w:rPr>
          <w:rFonts w:ascii="Arial" w:hAnsi="Arial" w:cs="Arial"/>
          <w:szCs w:val="36"/>
        </w:rPr>
        <w:t>竞争性磋商供应商须知</w:t>
      </w:r>
      <w:r>
        <w:tab/>
      </w:r>
      <w:r>
        <w:fldChar w:fldCharType="begin"/>
      </w:r>
      <w:r>
        <w:instrText xml:space="preserve"> PAGEREF _Toc29022 \h </w:instrText>
      </w:r>
      <w:r>
        <w:fldChar w:fldCharType="separate"/>
      </w:r>
      <w:r>
        <w:t>9</w:t>
      </w:r>
      <w:r>
        <w:fldChar w:fldCharType="end"/>
      </w:r>
      <w:r>
        <w:rPr>
          <w:rFonts w:cs="Arial"/>
          <w:kern w:val="2"/>
        </w:rPr>
        <w:fldChar w:fldCharType="end"/>
      </w:r>
    </w:p>
    <w:p>
      <w:pPr>
        <w:pStyle w:val="8"/>
        <w:tabs>
          <w:tab w:val="right" w:leader="dot" w:pos="9015"/>
          <w:tab w:val="clear" w:pos="8948"/>
        </w:tabs>
      </w:pPr>
      <w:r>
        <w:rPr>
          <w:rFonts w:cs="Arial"/>
          <w:kern w:val="2"/>
        </w:rPr>
        <w:fldChar w:fldCharType="begin"/>
      </w:r>
      <w:r>
        <w:rPr>
          <w:rFonts w:cs="Arial"/>
          <w:kern w:val="2"/>
        </w:rPr>
        <w:instrText xml:space="preserve"> HYPERLINK \l _Toc25460 </w:instrText>
      </w:r>
      <w:r>
        <w:rPr>
          <w:rFonts w:cs="Arial"/>
          <w:kern w:val="2"/>
        </w:rPr>
        <w:fldChar w:fldCharType="separate"/>
      </w:r>
      <w:r>
        <w:rPr>
          <w:rFonts w:ascii="Arial" w:hAnsi="Arial" w:cs="Arial"/>
          <w:szCs w:val="24"/>
        </w:rPr>
        <w:t>（一）</w:t>
      </w:r>
      <w:r>
        <w:rPr>
          <w:rFonts w:ascii="Arial" w:hAnsi="Arial" w:cs="Arial"/>
          <w:bCs w:val="0"/>
          <w:szCs w:val="24"/>
        </w:rPr>
        <w:t>竞争性磋商须知前附表</w:t>
      </w:r>
      <w:r>
        <w:tab/>
      </w:r>
      <w:r>
        <w:fldChar w:fldCharType="begin"/>
      </w:r>
      <w:r>
        <w:instrText xml:space="preserve"> PAGEREF _Toc25460 \h </w:instrText>
      </w:r>
      <w:r>
        <w:fldChar w:fldCharType="separate"/>
      </w:r>
      <w:r>
        <w:t>9</w:t>
      </w:r>
      <w:r>
        <w:fldChar w:fldCharType="end"/>
      </w:r>
      <w:r>
        <w:rPr>
          <w:rFonts w:cs="Arial"/>
          <w:kern w:val="2"/>
        </w:rPr>
        <w:fldChar w:fldCharType="end"/>
      </w:r>
    </w:p>
    <w:p>
      <w:pPr>
        <w:pStyle w:val="8"/>
        <w:tabs>
          <w:tab w:val="right" w:leader="dot" w:pos="9015"/>
          <w:tab w:val="clear" w:pos="8948"/>
        </w:tabs>
      </w:pPr>
      <w:r>
        <w:rPr>
          <w:rFonts w:cs="Arial"/>
          <w:kern w:val="2"/>
        </w:rPr>
        <w:fldChar w:fldCharType="begin"/>
      </w:r>
      <w:r>
        <w:rPr>
          <w:rFonts w:cs="Arial"/>
          <w:kern w:val="2"/>
        </w:rPr>
        <w:instrText xml:space="preserve"> HYPERLINK \l _Toc14803 </w:instrText>
      </w:r>
      <w:r>
        <w:rPr>
          <w:rFonts w:cs="Arial"/>
          <w:kern w:val="2"/>
        </w:rPr>
        <w:fldChar w:fldCharType="separate"/>
      </w:r>
      <w:r>
        <w:rPr>
          <w:rFonts w:hint="eastAsia" w:ascii="Arial" w:hAnsi="Arial" w:cs="Arial"/>
          <w:bCs w:val="0"/>
          <w:szCs w:val="24"/>
        </w:rPr>
        <w:t>（二）总则</w:t>
      </w:r>
      <w:r>
        <w:tab/>
      </w:r>
      <w:r>
        <w:fldChar w:fldCharType="begin"/>
      </w:r>
      <w:r>
        <w:instrText xml:space="preserve"> PAGEREF _Toc14803 \h </w:instrText>
      </w:r>
      <w:r>
        <w:fldChar w:fldCharType="separate"/>
      </w:r>
      <w:r>
        <w:t>12</w:t>
      </w:r>
      <w:r>
        <w:fldChar w:fldCharType="end"/>
      </w:r>
      <w:r>
        <w:rPr>
          <w:rFonts w:cs="Arial"/>
          <w:kern w:val="2"/>
        </w:rPr>
        <w:fldChar w:fldCharType="end"/>
      </w:r>
    </w:p>
    <w:p>
      <w:pPr>
        <w:pStyle w:val="8"/>
        <w:tabs>
          <w:tab w:val="right" w:leader="dot" w:pos="9015"/>
          <w:tab w:val="clear" w:pos="8948"/>
        </w:tabs>
      </w:pPr>
      <w:r>
        <w:rPr>
          <w:rFonts w:cs="Arial"/>
          <w:kern w:val="2"/>
        </w:rPr>
        <w:fldChar w:fldCharType="begin"/>
      </w:r>
      <w:r>
        <w:rPr>
          <w:rFonts w:cs="Arial"/>
          <w:kern w:val="2"/>
        </w:rPr>
        <w:instrText xml:space="preserve"> HYPERLINK \l _Toc11201 </w:instrText>
      </w:r>
      <w:r>
        <w:rPr>
          <w:rFonts w:cs="Arial"/>
          <w:kern w:val="2"/>
        </w:rPr>
        <w:fldChar w:fldCharType="separate"/>
      </w:r>
      <w:r>
        <w:rPr>
          <w:rFonts w:hint="eastAsia" w:ascii="Arial" w:hAnsi="Arial" w:cs="Arial"/>
          <w:bCs w:val="0"/>
          <w:szCs w:val="24"/>
        </w:rPr>
        <w:t>（三）竞争性磋商文件说明</w:t>
      </w:r>
      <w:r>
        <w:tab/>
      </w:r>
      <w:r>
        <w:fldChar w:fldCharType="begin"/>
      </w:r>
      <w:r>
        <w:instrText xml:space="preserve"> PAGEREF _Toc11201 \h </w:instrText>
      </w:r>
      <w:r>
        <w:fldChar w:fldCharType="separate"/>
      </w:r>
      <w:r>
        <w:t>13</w:t>
      </w:r>
      <w:r>
        <w:fldChar w:fldCharType="end"/>
      </w:r>
      <w:r>
        <w:rPr>
          <w:rFonts w:cs="Arial"/>
          <w:kern w:val="2"/>
        </w:rPr>
        <w:fldChar w:fldCharType="end"/>
      </w:r>
    </w:p>
    <w:p>
      <w:pPr>
        <w:pStyle w:val="8"/>
        <w:tabs>
          <w:tab w:val="right" w:leader="dot" w:pos="9015"/>
          <w:tab w:val="clear" w:pos="8948"/>
        </w:tabs>
      </w:pPr>
      <w:r>
        <w:rPr>
          <w:rFonts w:cs="Arial"/>
          <w:kern w:val="2"/>
        </w:rPr>
        <w:fldChar w:fldCharType="begin"/>
      </w:r>
      <w:r>
        <w:rPr>
          <w:rFonts w:cs="Arial"/>
          <w:kern w:val="2"/>
        </w:rPr>
        <w:instrText xml:space="preserve"> HYPERLINK \l _Toc17929 </w:instrText>
      </w:r>
      <w:r>
        <w:rPr>
          <w:rFonts w:cs="Arial"/>
          <w:kern w:val="2"/>
        </w:rPr>
        <w:fldChar w:fldCharType="separate"/>
      </w:r>
      <w:r>
        <w:rPr>
          <w:rFonts w:hint="eastAsia" w:ascii="Arial" w:hAnsi="Arial" w:cs="Arial"/>
          <w:bCs w:val="0"/>
          <w:szCs w:val="24"/>
        </w:rPr>
        <w:t>（四）竞争性磋商响应文件的编制</w:t>
      </w:r>
      <w:r>
        <w:tab/>
      </w:r>
      <w:r>
        <w:fldChar w:fldCharType="begin"/>
      </w:r>
      <w:r>
        <w:instrText xml:space="preserve"> PAGEREF _Toc17929 \h </w:instrText>
      </w:r>
      <w:r>
        <w:fldChar w:fldCharType="separate"/>
      </w:r>
      <w:r>
        <w:t>14</w:t>
      </w:r>
      <w:r>
        <w:fldChar w:fldCharType="end"/>
      </w:r>
      <w:r>
        <w:rPr>
          <w:rFonts w:cs="Arial"/>
          <w:kern w:val="2"/>
        </w:rPr>
        <w:fldChar w:fldCharType="end"/>
      </w:r>
    </w:p>
    <w:p>
      <w:pPr>
        <w:pStyle w:val="8"/>
        <w:tabs>
          <w:tab w:val="right" w:leader="dot" w:pos="9015"/>
          <w:tab w:val="clear" w:pos="8948"/>
        </w:tabs>
      </w:pPr>
      <w:r>
        <w:rPr>
          <w:rFonts w:cs="Arial"/>
          <w:kern w:val="2"/>
        </w:rPr>
        <w:fldChar w:fldCharType="begin"/>
      </w:r>
      <w:r>
        <w:rPr>
          <w:rFonts w:cs="Arial"/>
          <w:kern w:val="2"/>
        </w:rPr>
        <w:instrText xml:space="preserve"> HYPERLINK \l _Toc31082 </w:instrText>
      </w:r>
      <w:r>
        <w:rPr>
          <w:rFonts w:cs="Arial"/>
          <w:kern w:val="2"/>
        </w:rPr>
        <w:fldChar w:fldCharType="separate"/>
      </w:r>
      <w:r>
        <w:rPr>
          <w:rFonts w:hint="eastAsia" w:ascii="Arial" w:hAnsi="Arial" w:cs="Arial"/>
          <w:bCs w:val="0"/>
          <w:szCs w:val="24"/>
        </w:rPr>
        <w:t>（五）竞争性磋商响应文件的递交</w:t>
      </w:r>
      <w:r>
        <w:tab/>
      </w:r>
      <w:r>
        <w:fldChar w:fldCharType="begin"/>
      </w:r>
      <w:r>
        <w:instrText xml:space="preserve"> PAGEREF _Toc31082 \h </w:instrText>
      </w:r>
      <w:r>
        <w:fldChar w:fldCharType="separate"/>
      </w:r>
      <w:r>
        <w:t>17</w:t>
      </w:r>
      <w:r>
        <w:fldChar w:fldCharType="end"/>
      </w:r>
      <w:r>
        <w:rPr>
          <w:rFonts w:cs="Arial"/>
          <w:kern w:val="2"/>
        </w:rPr>
        <w:fldChar w:fldCharType="end"/>
      </w:r>
    </w:p>
    <w:p>
      <w:pPr>
        <w:pStyle w:val="8"/>
        <w:tabs>
          <w:tab w:val="right" w:leader="dot" w:pos="9015"/>
          <w:tab w:val="clear" w:pos="8948"/>
        </w:tabs>
      </w:pPr>
      <w:r>
        <w:rPr>
          <w:rFonts w:cs="Arial"/>
          <w:kern w:val="2"/>
        </w:rPr>
        <w:fldChar w:fldCharType="begin"/>
      </w:r>
      <w:r>
        <w:rPr>
          <w:rFonts w:cs="Arial"/>
          <w:kern w:val="2"/>
        </w:rPr>
        <w:instrText xml:space="preserve"> HYPERLINK \l _Toc8521 </w:instrText>
      </w:r>
      <w:r>
        <w:rPr>
          <w:rFonts w:cs="Arial"/>
          <w:kern w:val="2"/>
        </w:rPr>
        <w:fldChar w:fldCharType="separate"/>
      </w:r>
      <w:r>
        <w:rPr>
          <w:rFonts w:hint="eastAsia" w:ascii="Arial" w:hAnsi="Arial" w:cs="Arial"/>
          <w:bCs w:val="0"/>
          <w:szCs w:val="24"/>
        </w:rPr>
        <w:t>（六）竞争性磋商与评审</w:t>
      </w:r>
      <w:r>
        <w:tab/>
      </w:r>
      <w:r>
        <w:fldChar w:fldCharType="begin"/>
      </w:r>
      <w:r>
        <w:instrText xml:space="preserve"> PAGEREF _Toc8521 \h </w:instrText>
      </w:r>
      <w:r>
        <w:fldChar w:fldCharType="separate"/>
      </w:r>
      <w:r>
        <w:t>17</w:t>
      </w:r>
      <w:r>
        <w:fldChar w:fldCharType="end"/>
      </w:r>
      <w:r>
        <w:rPr>
          <w:rFonts w:cs="Arial"/>
          <w:kern w:val="2"/>
        </w:rPr>
        <w:fldChar w:fldCharType="end"/>
      </w:r>
    </w:p>
    <w:p>
      <w:pPr>
        <w:pStyle w:val="8"/>
        <w:tabs>
          <w:tab w:val="right" w:leader="dot" w:pos="9015"/>
          <w:tab w:val="clear" w:pos="8948"/>
        </w:tabs>
      </w:pPr>
      <w:r>
        <w:rPr>
          <w:rFonts w:cs="Arial"/>
          <w:kern w:val="2"/>
        </w:rPr>
        <w:fldChar w:fldCharType="begin"/>
      </w:r>
      <w:r>
        <w:rPr>
          <w:rFonts w:cs="Arial"/>
          <w:kern w:val="2"/>
        </w:rPr>
        <w:instrText xml:space="preserve"> HYPERLINK \l _Toc18842 </w:instrText>
      </w:r>
      <w:r>
        <w:rPr>
          <w:rFonts w:cs="Arial"/>
          <w:kern w:val="2"/>
        </w:rPr>
        <w:fldChar w:fldCharType="separate"/>
      </w:r>
      <w:r>
        <w:rPr>
          <w:rFonts w:hint="eastAsia" w:ascii="Arial" w:hAnsi="Arial" w:cs="Arial"/>
          <w:bCs w:val="0"/>
          <w:szCs w:val="24"/>
        </w:rPr>
        <w:t>（七）授予合同</w:t>
      </w:r>
      <w:r>
        <w:tab/>
      </w:r>
      <w:r>
        <w:fldChar w:fldCharType="begin"/>
      </w:r>
      <w:r>
        <w:instrText xml:space="preserve"> PAGEREF _Toc18842 \h </w:instrText>
      </w:r>
      <w:r>
        <w:fldChar w:fldCharType="separate"/>
      </w:r>
      <w:r>
        <w:t>21</w:t>
      </w:r>
      <w:r>
        <w:fldChar w:fldCharType="end"/>
      </w:r>
      <w:r>
        <w:rPr>
          <w:rFonts w:cs="Arial"/>
          <w:kern w:val="2"/>
        </w:rPr>
        <w:fldChar w:fldCharType="end"/>
      </w:r>
    </w:p>
    <w:p>
      <w:pPr>
        <w:pStyle w:val="21"/>
        <w:tabs>
          <w:tab w:val="right" w:leader="dot" w:pos="9015"/>
          <w:tab w:val="clear" w:pos="8948"/>
        </w:tabs>
      </w:pPr>
      <w:r>
        <w:rPr>
          <w:rFonts w:cs="Arial"/>
          <w:kern w:val="2"/>
        </w:rPr>
        <w:fldChar w:fldCharType="begin"/>
      </w:r>
      <w:r>
        <w:rPr>
          <w:rFonts w:cs="Arial"/>
          <w:kern w:val="2"/>
        </w:rPr>
        <w:instrText xml:space="preserve"> HYPERLINK \l _Toc32524 </w:instrText>
      </w:r>
      <w:r>
        <w:rPr>
          <w:rFonts w:cs="Arial"/>
          <w:kern w:val="2"/>
        </w:rPr>
        <w:fldChar w:fldCharType="separate"/>
      </w:r>
      <w:r>
        <w:rPr>
          <w:rFonts w:hint="eastAsia" w:ascii="Arial" w:hAnsi="Arial" w:cs="Arial"/>
          <w:szCs w:val="32"/>
        </w:rPr>
        <w:t xml:space="preserve">第三部分 </w:t>
      </w:r>
      <w:r>
        <w:rPr>
          <w:rFonts w:hint="eastAsia" w:ascii="Arial" w:hAnsi="Arial" w:cs="Arial"/>
          <w:szCs w:val="32"/>
          <w:highlight w:val="none"/>
        </w:rPr>
        <w:t>项目采购需求</w:t>
      </w:r>
      <w:r>
        <w:tab/>
      </w:r>
      <w:r>
        <w:fldChar w:fldCharType="begin"/>
      </w:r>
      <w:r>
        <w:instrText xml:space="preserve"> PAGEREF _Toc32524 \h </w:instrText>
      </w:r>
      <w:r>
        <w:fldChar w:fldCharType="separate"/>
      </w:r>
      <w:r>
        <w:t>24</w:t>
      </w:r>
      <w:r>
        <w:fldChar w:fldCharType="end"/>
      </w:r>
      <w:r>
        <w:rPr>
          <w:rFonts w:cs="Arial"/>
          <w:kern w:val="2"/>
        </w:rPr>
        <w:fldChar w:fldCharType="end"/>
      </w:r>
    </w:p>
    <w:p>
      <w:pPr>
        <w:pStyle w:val="21"/>
        <w:tabs>
          <w:tab w:val="right" w:leader="dot" w:pos="9015"/>
          <w:tab w:val="clear" w:pos="8948"/>
        </w:tabs>
      </w:pPr>
      <w:r>
        <w:rPr>
          <w:rFonts w:cs="Arial"/>
          <w:kern w:val="2"/>
        </w:rPr>
        <w:fldChar w:fldCharType="begin"/>
      </w:r>
      <w:r>
        <w:rPr>
          <w:rFonts w:cs="Arial"/>
          <w:kern w:val="2"/>
        </w:rPr>
        <w:instrText xml:space="preserve"> HYPERLINK \l _Toc26868 </w:instrText>
      </w:r>
      <w:r>
        <w:rPr>
          <w:rFonts w:cs="Arial"/>
          <w:kern w:val="2"/>
        </w:rPr>
        <w:fldChar w:fldCharType="separate"/>
      </w:r>
      <w:r>
        <w:rPr>
          <w:rFonts w:hint="eastAsia" w:ascii="Arial" w:hAnsi="Arial" w:cs="Arial"/>
          <w:szCs w:val="36"/>
        </w:rPr>
        <w:t>第四部分</w:t>
      </w:r>
      <w:r>
        <w:rPr>
          <w:rFonts w:hint="eastAsia" w:ascii="Arial" w:hAnsi="Arial" w:cs="Arial"/>
          <w:szCs w:val="36"/>
          <w:lang w:val="en-US" w:eastAsia="zh-CN"/>
        </w:rPr>
        <w:t xml:space="preserve"> </w:t>
      </w:r>
      <w:r>
        <w:rPr>
          <w:rFonts w:hint="eastAsia" w:ascii="Arial" w:hAnsi="Arial" w:cs="Arial"/>
          <w:szCs w:val="36"/>
        </w:rPr>
        <w:t>合同条款</w:t>
      </w:r>
      <w:r>
        <w:tab/>
      </w:r>
      <w:r>
        <w:fldChar w:fldCharType="begin"/>
      </w:r>
      <w:r>
        <w:instrText xml:space="preserve"> PAGEREF _Toc26868 \h </w:instrText>
      </w:r>
      <w:r>
        <w:fldChar w:fldCharType="separate"/>
      </w:r>
      <w:r>
        <w:t>28</w:t>
      </w:r>
      <w:r>
        <w:fldChar w:fldCharType="end"/>
      </w:r>
      <w:r>
        <w:rPr>
          <w:rFonts w:cs="Arial"/>
          <w:kern w:val="2"/>
        </w:rPr>
        <w:fldChar w:fldCharType="end"/>
      </w:r>
    </w:p>
    <w:p>
      <w:pPr>
        <w:pStyle w:val="21"/>
        <w:tabs>
          <w:tab w:val="right" w:leader="dot" w:pos="9015"/>
          <w:tab w:val="clear" w:pos="8948"/>
        </w:tabs>
      </w:pPr>
      <w:r>
        <w:rPr>
          <w:rFonts w:cs="Arial"/>
          <w:kern w:val="2"/>
        </w:rPr>
        <w:fldChar w:fldCharType="begin"/>
      </w:r>
      <w:r>
        <w:rPr>
          <w:rFonts w:cs="Arial"/>
          <w:kern w:val="2"/>
        </w:rPr>
        <w:instrText xml:space="preserve"> HYPERLINK \l _Toc3126 </w:instrText>
      </w:r>
      <w:r>
        <w:rPr>
          <w:rFonts w:cs="Arial"/>
          <w:kern w:val="2"/>
        </w:rPr>
        <w:fldChar w:fldCharType="separate"/>
      </w:r>
      <w:r>
        <w:rPr>
          <w:rFonts w:hint="eastAsia" w:ascii="Arial" w:hAnsi="Arial" w:cs="Arial"/>
          <w:szCs w:val="36"/>
          <w:highlight w:val="none"/>
        </w:rPr>
        <w:t>第五部分</w:t>
      </w:r>
      <w:r>
        <w:rPr>
          <w:rFonts w:hint="eastAsia" w:ascii="Arial" w:hAnsi="Arial" w:cs="Arial"/>
          <w:szCs w:val="36"/>
          <w:highlight w:val="none"/>
          <w:lang w:val="en-US" w:eastAsia="zh-CN"/>
        </w:rPr>
        <w:t xml:space="preserve"> </w:t>
      </w:r>
      <w:r>
        <w:rPr>
          <w:rFonts w:hint="eastAsia" w:ascii="Arial" w:hAnsi="Arial" w:cs="Arial"/>
          <w:szCs w:val="36"/>
          <w:highlight w:val="none"/>
        </w:rPr>
        <w:t>竞争性</w:t>
      </w:r>
      <w:r>
        <w:rPr>
          <w:rFonts w:hint="eastAsia" w:ascii="Arial" w:hAnsi="Arial" w:cs="Arial"/>
          <w:szCs w:val="36"/>
        </w:rPr>
        <w:t>磋商评定办法</w:t>
      </w:r>
      <w:r>
        <w:tab/>
      </w:r>
      <w:r>
        <w:fldChar w:fldCharType="begin"/>
      </w:r>
      <w:r>
        <w:instrText xml:space="preserve"> PAGEREF _Toc3126 \h </w:instrText>
      </w:r>
      <w:r>
        <w:fldChar w:fldCharType="separate"/>
      </w:r>
      <w:r>
        <w:t>36</w:t>
      </w:r>
      <w:r>
        <w:fldChar w:fldCharType="end"/>
      </w:r>
      <w:r>
        <w:rPr>
          <w:rFonts w:cs="Arial"/>
          <w:kern w:val="2"/>
        </w:rPr>
        <w:fldChar w:fldCharType="end"/>
      </w:r>
    </w:p>
    <w:p>
      <w:pPr>
        <w:pStyle w:val="21"/>
        <w:tabs>
          <w:tab w:val="right" w:leader="dot" w:pos="9015"/>
          <w:tab w:val="clear" w:pos="8948"/>
        </w:tabs>
      </w:pPr>
      <w:r>
        <w:rPr>
          <w:rFonts w:cs="Arial"/>
          <w:kern w:val="2"/>
        </w:rPr>
        <w:fldChar w:fldCharType="begin"/>
      </w:r>
      <w:r>
        <w:rPr>
          <w:rFonts w:cs="Arial"/>
          <w:kern w:val="2"/>
        </w:rPr>
        <w:instrText xml:space="preserve"> HYPERLINK \l _Toc16495 </w:instrText>
      </w:r>
      <w:r>
        <w:rPr>
          <w:rFonts w:cs="Arial"/>
          <w:kern w:val="2"/>
        </w:rPr>
        <w:fldChar w:fldCharType="separate"/>
      </w:r>
      <w:r>
        <w:rPr>
          <w:rFonts w:hint="eastAsia" w:ascii="Arial" w:hAnsi="Arial" w:cs="Arial"/>
          <w:szCs w:val="36"/>
        </w:rPr>
        <w:t>第六部分</w:t>
      </w:r>
      <w:r>
        <w:rPr>
          <w:rFonts w:hint="eastAsia" w:ascii="Arial" w:hAnsi="Arial" w:cs="Arial"/>
          <w:szCs w:val="36"/>
          <w:lang w:val="en-US" w:eastAsia="zh-CN"/>
        </w:rPr>
        <w:t xml:space="preserve"> </w:t>
      </w:r>
      <w:r>
        <w:rPr>
          <w:rFonts w:hint="eastAsia" w:ascii="Arial" w:hAnsi="Arial" w:cs="Arial"/>
          <w:szCs w:val="36"/>
        </w:rPr>
        <w:t>竞争性磋商响应文件格式</w:t>
      </w:r>
      <w:r>
        <w:tab/>
      </w:r>
      <w:r>
        <w:fldChar w:fldCharType="begin"/>
      </w:r>
      <w:r>
        <w:instrText xml:space="preserve"> PAGEREF _Toc16495 \h </w:instrText>
      </w:r>
      <w:r>
        <w:fldChar w:fldCharType="separate"/>
      </w:r>
      <w:r>
        <w:t>47</w:t>
      </w:r>
      <w:r>
        <w:fldChar w:fldCharType="end"/>
      </w:r>
      <w:r>
        <w:rPr>
          <w:rFonts w:cs="Arial"/>
          <w:kern w:val="2"/>
        </w:rPr>
        <w:fldChar w:fldCharType="end"/>
      </w:r>
    </w:p>
    <w:p>
      <w:pPr>
        <w:pStyle w:val="21"/>
        <w:spacing w:line="276" w:lineRule="auto"/>
        <w:rPr>
          <w:rFonts w:cs="Arial"/>
          <w:kern w:val="2"/>
        </w:rPr>
      </w:pPr>
      <w:r>
        <w:rPr>
          <w:rFonts w:cs="Arial"/>
          <w:kern w:val="2"/>
        </w:rPr>
        <w:fldChar w:fldCharType="end"/>
      </w:r>
    </w:p>
    <w:p>
      <w:pPr>
        <w:spacing w:line="276" w:lineRule="auto"/>
        <w:rPr>
          <w:rFonts w:ascii="Arial" w:hAnsi="Arial" w:cs="Arial"/>
        </w:rPr>
        <w:sectPr>
          <w:headerReference r:id="rId3" w:type="default"/>
          <w:footerReference r:id="rId5" w:type="default"/>
          <w:headerReference r:id="rId4" w:type="even"/>
          <w:footerReference r:id="rId6" w:type="even"/>
          <w:pgSz w:w="11849" w:h="16781"/>
          <w:pgMar w:top="1417" w:right="1417" w:bottom="1417" w:left="1417" w:header="850" w:footer="992" w:gutter="0"/>
          <w:pgBorders>
            <w:top w:val="none" w:sz="0" w:space="0"/>
            <w:left w:val="none" w:sz="0" w:space="0"/>
            <w:bottom w:val="none" w:sz="0" w:space="0"/>
            <w:right w:val="none" w:sz="0" w:space="0"/>
          </w:pgBorders>
          <w:pgNumType w:start="1"/>
          <w:cols w:space="0" w:num="1"/>
          <w:rtlGutter w:val="0"/>
          <w:docGrid w:type="linesAndChars" w:linePitch="324" w:charSpace="819"/>
        </w:sectPr>
      </w:pPr>
    </w:p>
    <w:p>
      <w:pPr>
        <w:pStyle w:val="3"/>
        <w:keepNext w:val="0"/>
        <w:keepLines w:val="0"/>
        <w:pageBreakBefore/>
        <w:spacing w:beforeLines="50" w:afterLines="50" w:line="276" w:lineRule="auto"/>
        <w:jc w:val="center"/>
        <w:rPr>
          <w:rFonts w:ascii="Arial" w:hAnsi="Arial" w:cs="Arial"/>
          <w:sz w:val="28"/>
          <w:szCs w:val="36"/>
        </w:rPr>
      </w:pPr>
      <w:bookmarkStart w:id="0" w:name="_Toc16313"/>
      <w:r>
        <w:rPr>
          <w:rFonts w:ascii="Arial" w:hAnsi="Arial" w:cs="Arial"/>
          <w:sz w:val="28"/>
          <w:szCs w:val="36"/>
        </w:rPr>
        <w:t>第一部分采购公告</w:t>
      </w:r>
      <w:bookmarkEnd w:id="0"/>
    </w:p>
    <w:tbl>
      <w:tblPr>
        <w:tblStyle w:val="28"/>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6" w:type="dxa"/>
            <w:noWrap w:val="0"/>
            <w:vAlign w:val="top"/>
          </w:tcPr>
          <w:p>
            <w:pPr>
              <w:pStyle w:val="2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0"/>
              <w:jc w:val="both"/>
              <w:textAlignment w:val="auto"/>
              <w:rPr>
                <w:rFonts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    项目概况</w:t>
            </w:r>
            <w:r>
              <w:rPr>
                <w:rFonts w:hint="eastAsia" w:ascii="仿宋" w:hAnsi="仿宋" w:eastAsia="仿宋" w:cs="仿宋"/>
                <w:i w:val="0"/>
                <w:iCs w:val="0"/>
                <w:caps w:val="0"/>
                <w:color w:val="000000"/>
                <w:spacing w:val="0"/>
                <w:sz w:val="24"/>
                <w:szCs w:val="24"/>
              </w:rPr>
              <w:t>                                                    </w:t>
            </w:r>
          </w:p>
          <w:p>
            <w:pPr>
              <w:pStyle w:val="2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0"/>
              <w:jc w:val="both"/>
              <w:textAlignment w:val="auto"/>
              <w:rPr>
                <w:rFonts w:hint="eastAsia" w:ascii="宋体" w:hAnsi="宋体" w:cs="宋体"/>
                <w:sz w:val="21"/>
                <w:szCs w:val="21"/>
                <w:vertAlign w:val="baseline"/>
              </w:rPr>
            </w:pPr>
            <w:r>
              <w:rPr>
                <w:rFonts w:hint="eastAsia" w:ascii="仿宋" w:hAnsi="仿宋" w:eastAsia="仿宋" w:cs="仿宋"/>
                <w:i w:val="0"/>
                <w:iCs w:val="0"/>
                <w:caps w:val="0"/>
                <w:color w:val="000000"/>
                <w:spacing w:val="0"/>
                <w:sz w:val="27"/>
                <w:szCs w:val="27"/>
              </w:rPr>
              <w:t>   </w:t>
            </w:r>
            <w:r>
              <w:rPr>
                <w:rFonts w:ascii="仿宋" w:hAnsi="仿宋" w:eastAsia="仿宋" w:cs="仿宋"/>
                <w:i w:val="0"/>
                <w:iCs w:val="0"/>
                <w:caps w:val="0"/>
                <w:color w:val="000000"/>
                <w:spacing w:val="0"/>
                <w:sz w:val="27"/>
                <w:szCs w:val="27"/>
              </w:rPr>
              <w:t>2024年西塘桥街道公共环境病媒生物防治服务项目</w:t>
            </w:r>
            <w:r>
              <w:rPr>
                <w:rFonts w:hint="eastAsia" w:ascii="仿宋" w:hAnsi="仿宋" w:eastAsia="仿宋" w:cs="仿宋"/>
                <w:i w:val="0"/>
                <w:iCs w:val="0"/>
                <w:caps w:val="0"/>
                <w:color w:val="000000"/>
                <w:spacing w:val="0"/>
                <w:sz w:val="27"/>
                <w:szCs w:val="27"/>
              </w:rPr>
              <w:t>采购项目的潜在供应商应在政采云平台线上获取获取（下载）采购文件，并于2024年05月08日 09:00（北京时间）前提交（上传）响应文件。</w:t>
            </w:r>
          </w:p>
        </w:tc>
      </w:tr>
    </w:tbl>
    <w:p>
      <w:pPr>
        <w:pStyle w:val="100"/>
        <w:spacing w:after="0" w:afterLines="0" w:line="360" w:lineRule="auto"/>
        <w:ind w:firstLine="420"/>
        <w:jc w:val="left"/>
        <w:rPr>
          <w:rFonts w:hint="eastAsia" w:ascii="宋体" w:hAnsi="宋体" w:cs="宋体"/>
          <w:sz w:val="21"/>
          <w:szCs w:val="21"/>
        </w:rPr>
      </w:pPr>
    </w:p>
    <w:p>
      <w:pPr>
        <w:pStyle w:val="24"/>
        <w:keepNext w:val="0"/>
        <w:keepLines w:val="0"/>
        <w:widowControl/>
        <w:suppressLineNumbers w:val="0"/>
        <w:spacing w:before="255" w:beforeAutospacing="0" w:after="255" w:afterAutospacing="0" w:line="450" w:lineRule="atLeast"/>
        <w:ind w:left="0" w:right="0"/>
        <w:jc w:val="both"/>
        <w:rPr>
          <w:rFonts w:ascii="黑体" w:hAnsi="宋体" w:eastAsia="黑体" w:cs="黑体"/>
          <w:sz w:val="31"/>
          <w:szCs w:val="31"/>
        </w:rPr>
      </w:pPr>
      <w:r>
        <w:rPr>
          <w:rStyle w:val="30"/>
          <w:rFonts w:ascii="黑体" w:hAnsi="宋体" w:eastAsia="黑体" w:cs="黑体"/>
          <w:i w:val="0"/>
          <w:iCs w:val="0"/>
          <w:caps w:val="0"/>
          <w:color w:val="000000"/>
          <w:spacing w:val="0"/>
          <w:sz w:val="27"/>
          <w:szCs w:val="27"/>
        </w:rPr>
        <w:t>一、项目基本情况</w:t>
      </w:r>
    </w:p>
    <w:p>
      <w:pPr>
        <w:pStyle w:val="24"/>
        <w:keepNext w:val="0"/>
        <w:keepLines w:val="0"/>
        <w:widowControl/>
        <w:suppressLineNumbers w:val="0"/>
        <w:spacing w:before="75" w:beforeAutospacing="0" w:after="75" w:afterAutospacing="0" w:line="300" w:lineRule="atLeast"/>
        <w:ind w:left="0" w:right="0"/>
      </w:pPr>
      <w:r>
        <w:rPr>
          <w:rFonts w:ascii="仿宋" w:hAnsi="仿宋" w:eastAsia="仿宋" w:cs="仿宋"/>
          <w:i w:val="0"/>
          <w:iCs w:val="0"/>
          <w:caps w:val="0"/>
          <w:color w:val="000000"/>
          <w:spacing w:val="0"/>
          <w:sz w:val="27"/>
          <w:szCs w:val="27"/>
        </w:rPr>
        <w:t>    项目编号：</w:t>
      </w:r>
      <w:r>
        <w:rPr>
          <w:rFonts w:hint="eastAsia" w:ascii="仿宋" w:hAnsi="仿宋" w:eastAsia="仿宋" w:cs="仿宋"/>
          <w:i w:val="0"/>
          <w:iCs w:val="0"/>
          <w:caps w:val="0"/>
          <w:color w:val="000000"/>
          <w:spacing w:val="0"/>
          <w:sz w:val="27"/>
          <w:szCs w:val="27"/>
        </w:rPr>
        <w:t>嘉鼎晟采〔2024〕027号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项目名称：2024年西塘桥街道公共环境病媒生物防治服务项目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采购方式：竞争性磋商</w:t>
      </w:r>
      <w:r>
        <w:rPr>
          <w:rFonts w:hint="eastAsia" w:ascii="仿宋" w:hAnsi="仿宋" w:eastAsia="仿宋" w:cs="仿宋"/>
          <w:i w:val="0"/>
          <w:iCs w:val="0"/>
          <w:caps w:val="0"/>
          <w:color w:val="000000"/>
          <w:spacing w:val="0"/>
          <w:sz w:val="24"/>
          <w:szCs w:val="24"/>
        </w:rPr>
        <w:t>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预算金额（元）：400000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最高限价（元）：400000 </w:t>
      </w:r>
      <w:r>
        <w:rPr>
          <w:rFonts w:hint="eastAsia" w:ascii="仿宋" w:hAnsi="仿宋" w:eastAsia="仿宋" w:cs="仿宋"/>
          <w:i w:val="0"/>
          <w:iCs w:val="0"/>
          <w:caps w:val="0"/>
          <w:color w:val="000000"/>
          <w:spacing w:val="0"/>
          <w:sz w:val="24"/>
          <w:szCs w:val="24"/>
        </w:rPr>
        <w:t>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采购需求：</w:t>
      </w:r>
    </w:p>
    <w:p>
      <w:pPr>
        <w:pStyle w:val="24"/>
        <w:keepNext w:val="0"/>
        <w:keepLines w:val="0"/>
        <w:widowControl/>
        <w:suppressLineNumbers w:val="0"/>
        <w:spacing w:before="75" w:beforeAutospacing="0" w:after="75" w:afterAutospacing="0" w:line="300" w:lineRule="atLeast"/>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w:t>
      </w:r>
    </w:p>
    <w:p>
      <w:pPr>
        <w:pStyle w:val="24"/>
        <w:keepNext w:val="0"/>
        <w:keepLines w:val="0"/>
        <w:widowControl/>
        <w:suppressLineNumbers w:val="0"/>
        <w:spacing w:before="75" w:beforeAutospacing="0" w:after="75" w:afterAutospacing="0" w:line="300" w:lineRule="atLeast"/>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lang w:val="en-US" w:eastAsia="zh-CN"/>
        </w:rPr>
        <w:t xml:space="preserve"> </w:t>
      </w:r>
      <w:r>
        <w:rPr>
          <w:rFonts w:hint="eastAsia" w:ascii="仿宋" w:hAnsi="仿宋" w:eastAsia="仿宋" w:cs="仿宋"/>
          <w:i w:val="0"/>
          <w:iCs w:val="0"/>
          <w:caps w:val="0"/>
          <w:color w:val="000000"/>
          <w:spacing w:val="0"/>
          <w:sz w:val="27"/>
          <w:szCs w:val="27"/>
        </w:rPr>
        <w:t>数量：不限       </w:t>
      </w:r>
    </w:p>
    <w:p>
      <w:pPr>
        <w:pStyle w:val="24"/>
        <w:keepNext w:val="0"/>
        <w:keepLines w:val="0"/>
        <w:widowControl/>
        <w:suppressLineNumbers w:val="0"/>
        <w:spacing w:before="75" w:beforeAutospacing="0" w:after="75" w:afterAutospacing="0" w:line="300" w:lineRule="atLeast"/>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lang w:val="en-US" w:eastAsia="zh-CN"/>
        </w:rPr>
        <w:t xml:space="preserve"> </w:t>
      </w:r>
      <w:r>
        <w:rPr>
          <w:rFonts w:hint="eastAsia" w:ascii="仿宋" w:hAnsi="仿宋" w:eastAsia="仿宋" w:cs="仿宋"/>
          <w:i w:val="0"/>
          <w:iCs w:val="0"/>
          <w:caps w:val="0"/>
          <w:color w:val="000000"/>
          <w:spacing w:val="0"/>
          <w:sz w:val="27"/>
          <w:szCs w:val="27"/>
        </w:rPr>
        <w:t>预算金额（元）：400000 </w:t>
      </w:r>
    </w:p>
    <w:p>
      <w:pPr>
        <w:pStyle w:val="24"/>
        <w:keepNext w:val="0"/>
        <w:keepLines w:val="0"/>
        <w:widowControl/>
        <w:suppressLineNumbers w:val="0"/>
        <w:spacing w:before="75" w:beforeAutospacing="0" w:after="75" w:afterAutospacing="0" w:line="300" w:lineRule="atLeast"/>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lang w:val="en-US" w:eastAsia="zh-CN"/>
        </w:rPr>
        <w:t xml:space="preserve"> </w:t>
      </w:r>
      <w:r>
        <w:rPr>
          <w:rFonts w:hint="eastAsia" w:ascii="仿宋" w:hAnsi="仿宋" w:eastAsia="仿宋" w:cs="仿宋"/>
          <w:i w:val="0"/>
          <w:iCs w:val="0"/>
          <w:caps w:val="0"/>
          <w:color w:val="000000"/>
          <w:spacing w:val="0"/>
          <w:sz w:val="27"/>
          <w:szCs w:val="27"/>
        </w:rPr>
        <w:t>单位：个 </w:t>
      </w:r>
    </w:p>
    <w:p>
      <w:pPr>
        <w:pStyle w:val="24"/>
        <w:keepNext w:val="0"/>
        <w:keepLines w:val="0"/>
        <w:widowControl/>
        <w:suppressLineNumbers w:val="0"/>
        <w:spacing w:before="75" w:beforeAutospacing="0" w:after="75" w:afterAutospacing="0" w:line="300" w:lineRule="atLeast"/>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lang w:val="en-US" w:eastAsia="zh-CN"/>
        </w:rPr>
        <w:t xml:space="preserve"> </w:t>
      </w:r>
      <w:r>
        <w:rPr>
          <w:rFonts w:hint="eastAsia" w:ascii="仿宋" w:hAnsi="仿宋" w:eastAsia="仿宋" w:cs="仿宋"/>
          <w:i w:val="0"/>
          <w:iCs w:val="0"/>
          <w:caps w:val="0"/>
          <w:color w:val="000000"/>
          <w:spacing w:val="0"/>
          <w:sz w:val="27"/>
          <w:szCs w:val="27"/>
        </w:rPr>
        <w:t>简要规格描述：详见采购文件 </w:t>
      </w:r>
    </w:p>
    <w:p>
      <w:pPr>
        <w:pStyle w:val="24"/>
        <w:keepNext w:val="0"/>
        <w:keepLines w:val="0"/>
        <w:widowControl/>
        <w:suppressLineNumbers w:val="0"/>
        <w:spacing w:before="75" w:beforeAutospacing="0" w:after="75" w:afterAutospacing="0" w:line="300" w:lineRule="atLeast"/>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lang w:val="en-US" w:eastAsia="zh-CN"/>
        </w:rPr>
        <w:t xml:space="preserve"> </w:t>
      </w:r>
      <w:r>
        <w:rPr>
          <w:rFonts w:hint="eastAsia" w:ascii="仿宋" w:hAnsi="仿宋" w:eastAsia="仿宋" w:cs="仿宋"/>
          <w:i w:val="0"/>
          <w:iCs w:val="0"/>
          <w:caps w:val="0"/>
          <w:color w:val="000000"/>
          <w:spacing w:val="0"/>
          <w:sz w:val="27"/>
          <w:szCs w:val="27"/>
        </w:rPr>
        <w:t>备注： </w:t>
      </w:r>
    </w:p>
    <w:p>
      <w:pPr>
        <w:pStyle w:val="24"/>
        <w:keepNext w:val="0"/>
        <w:keepLines w:val="0"/>
        <w:widowControl/>
        <w:suppressLineNumbers w:val="0"/>
        <w:spacing w:before="75" w:beforeAutospacing="0" w:after="75" w:afterAutospacing="0" w:line="300" w:lineRule="atLeast"/>
        <w:ind w:left="0" w:right="0"/>
        <w:rPr>
          <w:rFonts w:hint="eastAsia" w:ascii="仿宋" w:hAnsi="仿宋" w:eastAsia="仿宋" w:cs="仿宋"/>
          <w:i w:val="0"/>
          <w:iCs w:val="0"/>
          <w:caps w:val="0"/>
          <w:color w:val="000000"/>
          <w:spacing w:val="0"/>
          <w:sz w:val="27"/>
          <w:szCs w:val="27"/>
        </w:rPr>
      </w:pPr>
      <w:bookmarkStart w:id="50" w:name="_GoBack"/>
      <w:bookmarkEnd w:id="50"/>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合同履约期限：标项 1，自合同签订之日起1年 </w:t>
      </w:r>
      <w:r>
        <w:rPr>
          <w:rFonts w:hint="eastAsia" w:ascii="仿宋" w:hAnsi="仿宋" w:eastAsia="仿宋" w:cs="仿宋"/>
          <w:i w:val="0"/>
          <w:iCs w:val="0"/>
          <w:caps w:val="0"/>
          <w:color w:val="000000"/>
          <w:spacing w:val="0"/>
          <w:sz w:val="24"/>
          <w:szCs w:val="24"/>
        </w:rPr>
        <w:t>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本项目（否）接受联合体投标。</w:t>
      </w:r>
      <w:r>
        <w:rPr>
          <w:rFonts w:hint="eastAsia" w:ascii="仿宋" w:hAnsi="仿宋" w:eastAsia="仿宋" w:cs="仿宋"/>
          <w:i w:val="0"/>
          <w:iCs w:val="0"/>
          <w:caps w:val="0"/>
          <w:color w:val="000000"/>
          <w:spacing w:val="0"/>
          <w:sz w:val="24"/>
          <w:szCs w:val="24"/>
        </w:rPr>
        <w:t>  </w:t>
      </w:r>
    </w:p>
    <w:p>
      <w:pPr>
        <w:pStyle w:val="24"/>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30"/>
          <w:rFonts w:ascii="黑体" w:hAnsi="宋体" w:eastAsia="黑体" w:cs="黑体"/>
          <w:i w:val="0"/>
          <w:iCs w:val="0"/>
          <w:caps w:val="0"/>
          <w:color w:val="000000"/>
          <w:spacing w:val="0"/>
          <w:sz w:val="27"/>
          <w:szCs w:val="27"/>
        </w:rPr>
        <w:t>二、申请人的资格要求：</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2.落实政府采购政策需满足的资格要求：标项1：中小企业/小微企业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3.本项目的特定资格要求：</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【标项1】无 </w:t>
      </w:r>
    </w:p>
    <w:p>
      <w:pPr>
        <w:pStyle w:val="24"/>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30"/>
          <w:rFonts w:ascii="黑体" w:hAnsi="宋体" w:eastAsia="黑体" w:cs="黑体"/>
          <w:i w:val="0"/>
          <w:iCs w:val="0"/>
          <w:caps w:val="0"/>
          <w:color w:val="000000"/>
          <w:spacing w:val="0"/>
          <w:sz w:val="27"/>
          <w:szCs w:val="27"/>
        </w:rPr>
        <w:t>三、获取（下载）采购文件</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时间：/至2024年05月08日，每天上午00:00至12:00，下午12:00至23:59（北京时间，线上获取法定节假日均可，线下获取文件法定节假日除外）</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地点（网址）：政采云平台线上获取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方式：供应商登录政采云平台https://www.zcygov.cn/在线申请获取采购文件（进入“项目采购”应用，在获取采购文件菜单中选择项目，申请获取采购文件）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售价（元）：0 </w:t>
      </w:r>
    </w:p>
    <w:p>
      <w:pPr>
        <w:pStyle w:val="24"/>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30"/>
          <w:rFonts w:ascii="黑体" w:hAnsi="宋体" w:eastAsia="黑体" w:cs="黑体"/>
          <w:i w:val="0"/>
          <w:iCs w:val="0"/>
          <w:caps w:val="0"/>
          <w:color w:val="000000"/>
          <w:spacing w:val="0"/>
          <w:sz w:val="27"/>
          <w:szCs w:val="27"/>
        </w:rPr>
        <w:t>四、响应文件提交（上传）</w:t>
      </w:r>
      <w:r>
        <w:rPr>
          <w:rFonts w:ascii="黑体" w:hAnsi="宋体" w:eastAsia="黑体" w:cs="黑体"/>
          <w:i w:val="0"/>
          <w:iCs w:val="0"/>
          <w:caps w:val="0"/>
          <w:color w:val="000000"/>
          <w:spacing w:val="0"/>
          <w:sz w:val="27"/>
          <w:szCs w:val="27"/>
        </w:rPr>
        <w:t>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截止时间：2024年05月08日 09:00（北京时间）</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地点（网址）：请登录政采云投标客户端投标 </w:t>
      </w:r>
    </w:p>
    <w:p>
      <w:pPr>
        <w:pStyle w:val="24"/>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30"/>
          <w:rFonts w:ascii="黑体" w:hAnsi="宋体" w:eastAsia="黑体" w:cs="黑体"/>
          <w:i w:val="0"/>
          <w:iCs w:val="0"/>
          <w:caps w:val="0"/>
          <w:color w:val="000000"/>
          <w:spacing w:val="0"/>
          <w:sz w:val="27"/>
          <w:szCs w:val="27"/>
        </w:rPr>
        <w:t>五、响应文件开启</w:t>
      </w:r>
      <w:r>
        <w:rPr>
          <w:rFonts w:ascii="黑体" w:hAnsi="宋体" w:eastAsia="黑体" w:cs="黑体"/>
          <w:i w:val="0"/>
          <w:iCs w:val="0"/>
          <w:caps w:val="0"/>
          <w:color w:val="000000"/>
          <w:spacing w:val="0"/>
          <w:sz w:val="27"/>
          <w:szCs w:val="27"/>
        </w:rPr>
        <w:t> </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开启时间：2024年05月08日 09:00 （北京时间）</w:t>
      </w:r>
    </w:p>
    <w:p>
      <w:pPr>
        <w:pStyle w:val="2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地点（网址）：海盐县武原街道新桥南路41号 </w:t>
      </w:r>
    </w:p>
    <w:p>
      <w:pPr>
        <w:pStyle w:val="24"/>
        <w:keepNext w:val="0"/>
        <w:keepLines w:val="0"/>
        <w:widowControl/>
        <w:suppressLineNumbers w:val="0"/>
        <w:spacing w:before="255" w:beforeAutospacing="0" w:after="255" w:afterAutospacing="0" w:line="450" w:lineRule="atLeast"/>
        <w:ind w:left="0" w:right="0"/>
        <w:jc w:val="both"/>
        <w:rPr>
          <w:rFonts w:ascii="黑体" w:hAnsi="宋体" w:eastAsia="黑体" w:cs="黑体"/>
          <w:sz w:val="31"/>
          <w:szCs w:val="31"/>
        </w:rPr>
      </w:pPr>
      <w:r>
        <w:rPr>
          <w:rStyle w:val="30"/>
          <w:rFonts w:ascii="黑体" w:hAnsi="宋体" w:eastAsia="黑体" w:cs="黑体"/>
          <w:i w:val="0"/>
          <w:iCs w:val="0"/>
          <w:caps w:val="0"/>
          <w:color w:val="000000"/>
          <w:spacing w:val="0"/>
          <w:sz w:val="27"/>
          <w:szCs w:val="27"/>
        </w:rPr>
        <w:t>六、公告期限</w:t>
      </w:r>
    </w:p>
    <w:p>
      <w:pPr>
        <w:pStyle w:val="24"/>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自本公告发布之日起3个工作日。</w:t>
      </w:r>
    </w:p>
    <w:p>
      <w:pPr>
        <w:pStyle w:val="24"/>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30"/>
          <w:rFonts w:ascii="黑体" w:hAnsi="宋体" w:eastAsia="黑体" w:cs="黑体"/>
          <w:i w:val="0"/>
          <w:iCs w:val="0"/>
          <w:caps w:val="0"/>
          <w:color w:val="000000"/>
          <w:spacing w:val="0"/>
          <w:sz w:val="27"/>
          <w:szCs w:val="27"/>
        </w:rPr>
        <w:t>七、其他补充事宜</w:t>
      </w:r>
      <w:r>
        <w:rPr>
          <w:rFonts w:ascii="黑体" w:hAnsi="宋体" w:eastAsia="黑体" w:cs="黑体"/>
          <w:i w:val="0"/>
          <w:iCs w:val="0"/>
          <w:caps w:val="0"/>
          <w:color w:val="000000"/>
          <w:spacing w:val="0"/>
          <w:sz w:val="27"/>
          <w:szCs w:val="27"/>
        </w:rPr>
        <w:t> </w:t>
      </w:r>
    </w:p>
    <w:p>
      <w:pPr>
        <w:pStyle w:val="24"/>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1.供应商认为采购文件使自己的权益受到损害的，可以自获取采购文件之日或者采购文件公告期限届满之日（公告期限届满后获取采购文件的，以公告期限届满之日为准）起7个工作日内，</w:t>
      </w:r>
      <w:r>
        <w:rPr>
          <w:rFonts w:hint="eastAsia" w:ascii="仿宋" w:hAnsi="仿宋" w:eastAsia="仿宋" w:cs="仿宋"/>
          <w:i w:val="0"/>
          <w:iCs w:val="0"/>
          <w:caps w:val="0"/>
          <w:color w:val="000000"/>
          <w:spacing w:val="0"/>
          <w:sz w:val="27"/>
          <w:szCs w:val="27"/>
          <w:shd w:val="clear" w:fill="FFFFFF"/>
        </w:rPr>
        <w:t>对采购文件需求的以书面形式向采购人提出质疑，对其他内容的以书面形式向采购人和采购代理机构提出质疑。</w:t>
      </w:r>
      <w:r>
        <w:rPr>
          <w:rFonts w:hint="eastAsia" w:ascii="仿宋" w:hAnsi="仿宋" w:eastAsia="仿宋" w:cs="仿宋"/>
          <w:i w:val="0"/>
          <w:iCs w:val="0"/>
          <w:caps w:val="0"/>
          <w:color w:val="000000"/>
          <w:spacing w:val="0"/>
          <w:sz w:val="27"/>
          <w:szCs w:val="27"/>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2.其他事项：1.《浙江省财政厅关于进一步发挥政府采购政策功能全力推动经济稳进提质的通知》 （浙财采监（2022）3号）、《浙江省财政厅关于进一步促进政府采购公平竞争打造最优营商环境的通知》（浙财采监（2021）22号）、《关于进一步加大政府采购支持中小企业力度的通知》（财库(2022)19号）已分别于2022年1月29日、2022年2月1日和2022年7月1日开始实施，此前有关规定与上述文件内容不一致的，按上述文件要求执行。</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4.其他事项：本采购项目，中标单位与采购人签订的政府采购合同适用于嘉兴市政府采购贷款政策，简称“政采贷”，具体内容可参阅政府采购贷款流程：http://www.jxzbtb.cn/zxfw/005012/20191016/7e541bf4-ad29-4286-ace8-d12c1b2c54fc.html</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5.投标说明：</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5.1本项目按照《浙江省财政厅关于印发浙江省政府采购项目电子交易管理暂行办法的通知》实行电子交易。</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5.2供应商注册</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5.2.1注册网址：浙江政府采购网：https://middle.zcygov.cn/settle-front/#/registry</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5.2.2供应商按照《浙江省政府采购供应商注册和诚信管理暂行办法》要求执行。</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6.投标文件制作注意事项</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6.1供应商将政采云电子交易客户端下载、安装完成后，可通过账号密码或CA登录客户端进行投标文件制作。注：供应商先要申领CA，拿到CA后需要在政采云平台进行绑定，CA相关操作可参考《CA申领操作指南》和《CA管理操作指南》。完成CA数字证书办理在资料齐全的情况下预计7个工作日左右，建议供应商获取招标文件后立即办理。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6.2电子交易操作指南：https://helpcenter.zcygov.cn/document/#/document/dashboard?siteCode=beijing</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注：ＣＡ证书遗失补办、延期、解锁、质保等业务可以在联连客户端上进行操作；使用政采云投标客户端时，建议使用WIN7及以上操作系统。</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7.投标文件提交注意事项：</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7.1供应商进行电子投标应安装客户端软件，并按照招标文件和电子交易平台的要求编制并加密投标文件。供应商未按规定加密的投标文件，代理机构应当拒收。</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7.2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7.3为确保采购项目顺利实施，避免因解密失败导致供应商投标无效，供应商在电子交易平台传输提交投标文件后，将政采云平台上最后生成的具备电子签章的备份电子投标文件（文件后缀名为.bfbs）1份在投标截止时间前，发送至邮箱851490373@qq.com。</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7.4备份电子投标文件为非强制性要求，但如遇因供应商电子投标文件解密失败等情况造成无效标，后果由供应商自负。      </w:t>
      </w:r>
    </w:p>
    <w:p>
      <w:pPr>
        <w:pStyle w:val="24"/>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30"/>
          <w:rFonts w:ascii="黑体" w:hAnsi="宋体" w:eastAsia="黑体" w:cs="黑体"/>
          <w:i w:val="0"/>
          <w:iCs w:val="0"/>
          <w:caps w:val="0"/>
          <w:color w:val="000000"/>
          <w:spacing w:val="0"/>
          <w:sz w:val="27"/>
          <w:szCs w:val="27"/>
        </w:rPr>
        <w:t>八、凡对本次招标提出询问、质疑、投诉，请按以下方式联系</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1.采购人信息</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名    称：海盐县经济开发区管委会（西塘桥街道）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地    址：海盐县西塘桥街道海港大道1816号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传    真：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项目联系人（询问）：狄娅菲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项目联系方式（询问）：0573-86800769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质疑联系人：狄娅菲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质疑联系方式：0573-86800769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2.采购代理机构信息</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名    称：嘉兴鼎晟工程管理有限公司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地    址：海盐县武原街道新桥南路41号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项目联系人（询问）：张达锋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项目联系方式（询问）：0573-86116950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质疑联系人：周明珍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质疑联系方式：0573-86116950 </w:t>
      </w:r>
    </w:p>
    <w:p>
      <w:pPr>
        <w:pStyle w:val="24"/>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3. </w:t>
      </w:r>
      <w:r>
        <w:rPr>
          <w:rStyle w:val="43"/>
          <w:rFonts w:hint="eastAsia" w:ascii="仿宋" w:hAnsi="仿宋" w:eastAsia="仿宋" w:cs="仿宋"/>
          <w:i w:val="0"/>
          <w:iCs w:val="0"/>
          <w:caps w:val="0"/>
          <w:color w:val="000000"/>
          <w:spacing w:val="0"/>
          <w:sz w:val="27"/>
          <w:szCs w:val="27"/>
        </w:rPr>
        <w:t>同级政府采购监督管理部门</w:t>
      </w:r>
    </w:p>
    <w:p>
      <w:pPr>
        <w:pStyle w:val="24"/>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iCs w:val="0"/>
          <w:caps w:val="0"/>
          <w:color w:val="000000"/>
          <w:spacing w:val="0"/>
          <w:sz w:val="27"/>
          <w:szCs w:val="27"/>
        </w:rPr>
        <w:t>    名    称：海盐县财政局政府采购监管科  </w:t>
      </w:r>
    </w:p>
    <w:p>
      <w:pPr>
        <w:pStyle w:val="24"/>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iCs w:val="0"/>
          <w:caps w:val="0"/>
          <w:color w:val="000000"/>
          <w:spacing w:val="0"/>
          <w:sz w:val="27"/>
          <w:szCs w:val="27"/>
        </w:rPr>
        <w:t>    地    址：海盐县武原街道新桥北路168号</w:t>
      </w:r>
    </w:p>
    <w:p>
      <w:pPr>
        <w:pStyle w:val="24"/>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iCs w:val="0"/>
          <w:caps w:val="0"/>
          <w:color w:val="000000"/>
          <w:spacing w:val="0"/>
          <w:sz w:val="27"/>
          <w:szCs w:val="27"/>
        </w:rPr>
        <w:t>    传    真：</w:t>
      </w:r>
    </w:p>
    <w:p>
      <w:pPr>
        <w:pStyle w:val="24"/>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iCs w:val="0"/>
          <w:caps w:val="0"/>
          <w:color w:val="000000"/>
          <w:spacing w:val="0"/>
          <w:sz w:val="27"/>
          <w:szCs w:val="27"/>
        </w:rPr>
        <w:t>    联 系 人：张科 </w:t>
      </w:r>
    </w:p>
    <w:p>
      <w:pPr>
        <w:pStyle w:val="24"/>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iCs w:val="0"/>
          <w:caps w:val="0"/>
          <w:color w:val="000000"/>
          <w:spacing w:val="0"/>
          <w:sz w:val="27"/>
          <w:szCs w:val="27"/>
        </w:rPr>
        <w:t>    监督投诉电话：0573-86122512</w:t>
      </w:r>
    </w:p>
    <w:p>
      <w:pPr>
        <w:keepNext w:val="0"/>
        <w:keepLines w:val="0"/>
        <w:widowControl/>
        <w:suppressLineNumbers w:val="0"/>
        <w:jc w:val="left"/>
      </w:pPr>
      <w:r>
        <w:rPr>
          <w:rFonts w:ascii="sans-serif" w:hAnsi="sans-serif" w:eastAsia="sans-serif" w:cs="sans-serif"/>
          <w:i w:val="0"/>
          <w:iCs w:val="0"/>
          <w:caps w:val="0"/>
          <w:color w:val="000000"/>
          <w:spacing w:val="0"/>
          <w:kern w:val="0"/>
          <w:sz w:val="24"/>
          <w:szCs w:val="24"/>
          <w:lang w:val="en-US" w:eastAsia="zh-CN" w:bidi="ar"/>
        </w:rPr>
        <w:br w:type="textWrapping"/>
      </w:r>
      <w:r>
        <w:rPr>
          <w:rFonts w:hint="default" w:ascii="sans-serif" w:hAnsi="sans-serif" w:eastAsia="sans-serif" w:cs="sans-serif"/>
          <w:i w:val="0"/>
          <w:iCs w:val="0"/>
          <w:caps w:val="0"/>
          <w:color w:val="000000"/>
          <w:spacing w:val="0"/>
          <w:kern w:val="0"/>
          <w:sz w:val="24"/>
          <w:szCs w:val="24"/>
          <w:lang w:val="en-US" w:eastAsia="zh-CN" w:bidi="ar"/>
        </w:rPr>
        <w:t> </w:t>
      </w:r>
      <w:r>
        <w:rPr>
          <w:rFonts w:hint="default" w:ascii="sans-serif" w:hAnsi="sans-serif" w:eastAsia="sans-serif" w:cs="sans-serif"/>
          <w:i w:val="0"/>
          <w:iCs w:val="0"/>
          <w:caps w:val="0"/>
          <w:color w:val="000000"/>
          <w:spacing w:val="0"/>
          <w:kern w:val="0"/>
          <w:sz w:val="24"/>
          <w:szCs w:val="24"/>
          <w:lang w:val="en-US" w:eastAsia="zh-CN" w:bidi="ar"/>
        </w:rPr>
        <w:br w:type="textWrapping"/>
      </w:r>
      <w:r>
        <w:rPr>
          <w:rFonts w:hint="default" w:ascii="sans-serif" w:hAnsi="sans-serif" w:eastAsia="sans-serif" w:cs="sans-serif"/>
          <w:i w:val="0"/>
          <w:iCs w:val="0"/>
          <w:caps w:val="0"/>
          <w:color w:val="000000"/>
          <w:spacing w:val="0"/>
          <w:kern w:val="0"/>
          <w:sz w:val="24"/>
          <w:szCs w:val="24"/>
          <w:lang w:val="en-US" w:eastAsia="zh-CN" w:bidi="ar"/>
        </w:rPr>
        <w:t> </w:t>
      </w:r>
    </w:p>
    <w:p>
      <w:pPr>
        <w:pStyle w:val="24"/>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4"/>
          <w:szCs w:val="24"/>
        </w:rPr>
        <w:t>若对项目采购电子交易系统操作有疑问，可登录政采云（https://www.zcygov.cn/），点击右侧咨询小采，获取采小蜜智能服务管家帮助，或拨打政采云服务热线95763获取热线服务帮助。        </w:t>
      </w:r>
    </w:p>
    <w:p>
      <w:pPr>
        <w:pStyle w:val="24"/>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4"/>
          <w:szCs w:val="24"/>
        </w:rPr>
        <w:t>CA问题联系电话（人工）：汇信CA 400-888-4636；天谷CA 400-087-8198。</w:t>
      </w:r>
      <w:r>
        <w:rPr>
          <w:rFonts w:hint="eastAsia" w:ascii="仿宋" w:hAnsi="仿宋" w:eastAsia="仿宋" w:cs="仿宋"/>
          <w:i w:val="0"/>
          <w:iCs w:val="0"/>
          <w:caps w:val="0"/>
          <w:color w:val="000000"/>
          <w:spacing w:val="0"/>
          <w:sz w:val="24"/>
          <w:szCs w:val="24"/>
        </w:rPr>
        <w:br w:type="textWrapping"/>
      </w:r>
      <w:r>
        <w:rPr>
          <w:rFonts w:hint="eastAsia" w:ascii="仿宋" w:hAnsi="仿宋" w:eastAsia="仿宋" w:cs="仿宋"/>
          <w:i w:val="0"/>
          <w:iCs w:val="0"/>
          <w:caps w:val="0"/>
          <w:color w:val="000000"/>
          <w:spacing w:val="0"/>
          <w:sz w:val="24"/>
          <w:szCs w:val="24"/>
        </w:rPr>
        <w:t> </w:t>
      </w:r>
    </w:p>
    <w:p/>
    <w:p>
      <w:pPr>
        <w:pStyle w:val="3"/>
        <w:keepNext w:val="0"/>
        <w:keepLines w:val="0"/>
        <w:pageBreakBefore/>
        <w:spacing w:beforeLines="100" w:afterLines="100" w:line="240" w:lineRule="auto"/>
        <w:jc w:val="center"/>
        <w:rPr>
          <w:rFonts w:ascii="Arial" w:hAnsi="Arial" w:cs="Arial"/>
          <w:sz w:val="28"/>
          <w:szCs w:val="36"/>
        </w:rPr>
      </w:pPr>
      <w:bookmarkStart w:id="1" w:name="_Toc29022"/>
      <w:r>
        <w:rPr>
          <w:rFonts w:ascii="Arial" w:hAnsi="Arial" w:cs="Arial"/>
          <w:sz w:val="28"/>
          <w:szCs w:val="36"/>
        </w:rPr>
        <w:t>第二部分</w:t>
      </w:r>
      <w:r>
        <w:rPr>
          <w:rFonts w:hint="eastAsia" w:ascii="Arial" w:hAnsi="Arial" w:cs="Arial"/>
          <w:sz w:val="28"/>
          <w:szCs w:val="36"/>
          <w:lang w:val="en-US" w:eastAsia="zh-CN"/>
        </w:rPr>
        <w:t xml:space="preserve"> </w:t>
      </w:r>
      <w:r>
        <w:rPr>
          <w:rFonts w:ascii="Arial" w:hAnsi="Arial" w:cs="Arial"/>
          <w:sz w:val="28"/>
          <w:szCs w:val="36"/>
        </w:rPr>
        <w:t>竞争性磋商供应商须知</w:t>
      </w:r>
      <w:bookmarkEnd w:id="1"/>
    </w:p>
    <w:p>
      <w:pPr>
        <w:pStyle w:val="4"/>
        <w:spacing w:beforeLines="50" w:afterLines="50" w:line="240" w:lineRule="auto"/>
        <w:jc w:val="center"/>
        <w:rPr>
          <w:rFonts w:ascii="Arial" w:hAnsi="Arial" w:cs="Arial"/>
          <w:bCs w:val="0"/>
          <w:sz w:val="24"/>
          <w:szCs w:val="24"/>
        </w:rPr>
      </w:pPr>
      <w:bookmarkStart w:id="2" w:name="_Toc25460"/>
      <w:r>
        <w:rPr>
          <w:rFonts w:ascii="Arial" w:hAnsi="Arial" w:cs="Arial"/>
          <w:sz w:val="24"/>
          <w:szCs w:val="24"/>
        </w:rPr>
        <w:t>（一）</w:t>
      </w:r>
      <w:r>
        <w:rPr>
          <w:rFonts w:ascii="Arial" w:hAnsi="Arial" w:cs="Arial"/>
          <w:bCs w:val="0"/>
          <w:sz w:val="24"/>
          <w:szCs w:val="24"/>
        </w:rPr>
        <w:t>竞争性磋商须知前附表</w:t>
      </w:r>
      <w:bookmarkEnd w:id="2"/>
    </w:p>
    <w:tbl>
      <w:tblPr>
        <w:tblStyle w:val="27"/>
        <w:tblW w:w="92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28"/>
        <w:gridCol w:w="1920"/>
        <w:gridCol w:w="65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28"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项号</w:t>
            </w:r>
          </w:p>
        </w:tc>
        <w:tc>
          <w:tcPr>
            <w:tcW w:w="192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内容</w:t>
            </w:r>
          </w:p>
        </w:tc>
        <w:tc>
          <w:tcPr>
            <w:tcW w:w="653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653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2024年西塘桥街道公共环境病媒生物防治服务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653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嘉鼎晟采〔2024〕027号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920" w:type="dxa"/>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资金来源</w:t>
            </w:r>
          </w:p>
        </w:tc>
        <w:tc>
          <w:tcPr>
            <w:tcW w:w="6530" w:type="dxa"/>
            <w:vAlign w:val="center"/>
          </w:tcPr>
          <w:p>
            <w:pPr>
              <w:spacing w:line="276" w:lineRule="auto"/>
              <w:rPr>
                <w:rFonts w:hint="eastAsia" w:ascii="宋体" w:hAnsi="宋体" w:eastAsia="宋体" w:cs="宋体"/>
                <w:color w:val="auto"/>
                <w:sz w:val="24"/>
                <w:szCs w:val="24"/>
              </w:rPr>
            </w:pPr>
            <w:r>
              <w:rPr>
                <w:rFonts w:hint="eastAsia" w:ascii="宋体" w:hAnsi="宋体" w:eastAsia="宋体" w:cs="宋体"/>
                <w:color w:val="auto"/>
                <w:sz w:val="24"/>
                <w:szCs w:val="24"/>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920" w:type="dxa"/>
            <w:vAlign w:val="center"/>
          </w:tcPr>
          <w:p>
            <w:pPr>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采购人</w:t>
            </w:r>
          </w:p>
        </w:tc>
        <w:tc>
          <w:tcPr>
            <w:tcW w:w="6530" w:type="dxa"/>
            <w:vAlign w:val="center"/>
          </w:tcPr>
          <w:p>
            <w:pPr>
              <w:adjustRightInd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lang w:eastAsia="zh-CN"/>
              </w:rPr>
              <w:t>名称：</w:t>
            </w:r>
            <w:r>
              <w:rPr>
                <w:rFonts w:hint="eastAsia" w:ascii="宋体" w:hAnsi="宋体" w:cs="宋体"/>
                <w:color w:val="auto"/>
                <w:sz w:val="24"/>
                <w:szCs w:val="24"/>
                <w:lang w:eastAsia="zh-CN"/>
              </w:rPr>
              <w:t>浙江省海盐经济开发区管理委员会</w:t>
            </w:r>
            <w:r>
              <w:rPr>
                <w:rFonts w:hint="eastAsia" w:ascii="宋体" w:hAnsi="宋体" w:eastAsia="宋体" w:cs="宋体"/>
                <w:color w:val="auto"/>
                <w:sz w:val="24"/>
                <w:szCs w:val="24"/>
                <w:lang w:eastAsia="zh-CN"/>
              </w:rPr>
              <w:t xml:space="preserve"> </w:t>
            </w:r>
          </w:p>
          <w:p>
            <w:pPr>
              <w:adjustRightInd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联系人：</w:t>
            </w:r>
            <w:r>
              <w:rPr>
                <w:rFonts w:hint="eastAsia" w:ascii="宋体" w:hAnsi="宋体" w:cs="宋体"/>
                <w:color w:val="auto"/>
                <w:sz w:val="24"/>
                <w:szCs w:val="24"/>
                <w:highlight w:val="none"/>
                <w:lang w:val="en-US" w:eastAsia="zh-CN"/>
              </w:rPr>
              <w:t>狄工</w:t>
            </w:r>
          </w:p>
          <w:p>
            <w:pPr>
              <w:adjustRightInd w:val="0"/>
              <w:rPr>
                <w:rFonts w:hint="eastAsia" w:ascii="宋体" w:hAnsi="宋体" w:eastAsia="宋体" w:cs="宋体"/>
                <w:color w:val="auto"/>
                <w:sz w:val="24"/>
                <w:szCs w:val="24"/>
                <w:lang w:val="en-US"/>
              </w:rPr>
            </w:pPr>
            <w:r>
              <w:rPr>
                <w:rFonts w:hint="eastAsia" w:ascii="宋体" w:hAnsi="宋体" w:eastAsia="宋体" w:cs="宋体"/>
                <w:color w:val="auto"/>
                <w:sz w:val="24"/>
                <w:szCs w:val="24"/>
                <w:highlight w:val="none"/>
                <w:lang w:eastAsia="zh-CN"/>
              </w:rPr>
              <w:t>联系电话：0573-86800050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0"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920" w:type="dxa"/>
            <w:vAlign w:val="center"/>
          </w:tcPr>
          <w:p>
            <w:pPr>
              <w:adjustRightInd w:val="0"/>
              <w:jc w:val="center"/>
              <w:rPr>
                <w:rFonts w:hint="eastAsia" w:ascii="宋体" w:hAnsi="宋体" w:eastAsia="宋体" w:cs="宋体"/>
                <w:sz w:val="24"/>
                <w:szCs w:val="24"/>
              </w:rPr>
            </w:pPr>
            <w:r>
              <w:rPr>
                <w:rFonts w:hint="eastAsia" w:ascii="宋体" w:hAnsi="宋体" w:eastAsia="宋体" w:cs="宋体"/>
                <w:sz w:val="24"/>
                <w:szCs w:val="24"/>
              </w:rPr>
              <w:t>采购代理机构</w:t>
            </w:r>
          </w:p>
        </w:tc>
        <w:tc>
          <w:tcPr>
            <w:tcW w:w="6530" w:type="dxa"/>
            <w:vAlign w:val="center"/>
          </w:tcPr>
          <w:p>
            <w:pPr>
              <w:adjustRightIn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名称：</w:t>
            </w:r>
            <w:r>
              <w:rPr>
                <w:rFonts w:hint="eastAsia" w:ascii="宋体" w:hAnsi="宋体" w:eastAsia="宋体" w:cs="宋体"/>
                <w:color w:val="auto"/>
                <w:sz w:val="24"/>
                <w:szCs w:val="24"/>
                <w:lang w:eastAsia="zh-CN"/>
              </w:rPr>
              <w:t>嘉兴鼎晟工程管理有限公司</w:t>
            </w:r>
          </w:p>
          <w:p>
            <w:pPr>
              <w:adjustRightIn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张达锋</w:t>
            </w:r>
          </w:p>
          <w:p>
            <w:pPr>
              <w:adjustRightInd w:val="0"/>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0573-86116950</w:t>
            </w:r>
            <w:r>
              <w:rPr>
                <w:rFonts w:hint="eastAsia" w:ascii="宋体" w:hAnsi="宋体" w:eastAsia="宋体" w:cs="宋体"/>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80"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采购内容</w:t>
            </w:r>
          </w:p>
        </w:tc>
        <w:tc>
          <w:tcPr>
            <w:tcW w:w="6530" w:type="dxa"/>
            <w:vAlign w:val="center"/>
          </w:tcPr>
          <w:p>
            <w:pPr>
              <w:rPr>
                <w:rFonts w:hint="eastAsia" w:ascii="宋体" w:hAnsi="宋体" w:eastAsia="宋体" w:cs="宋体"/>
                <w:color w:val="auto"/>
                <w:sz w:val="24"/>
                <w:szCs w:val="24"/>
              </w:rPr>
            </w:pPr>
            <w:r>
              <w:rPr>
                <w:rFonts w:hint="eastAsia" w:ascii="宋体" w:hAnsi="宋体" w:cs="宋体"/>
                <w:color w:val="auto"/>
                <w:sz w:val="24"/>
                <w:szCs w:val="24"/>
                <w:lang w:eastAsia="zh-CN"/>
              </w:rPr>
              <w:t>2024年西塘桥街道公共环境病媒生物防治服务</w:t>
            </w:r>
            <w:r>
              <w:rPr>
                <w:rFonts w:hint="eastAsia" w:ascii="宋体" w:hAnsi="宋体" w:eastAsia="宋体" w:cs="宋体"/>
                <w:color w:val="auto"/>
                <w:sz w:val="24"/>
                <w:szCs w:val="24"/>
              </w:rPr>
              <w:t>，详见本磋商文件</w:t>
            </w:r>
            <w:r>
              <w:rPr>
                <w:rFonts w:hint="eastAsia" w:ascii="宋体" w:hAnsi="宋体" w:eastAsia="宋体" w:cs="宋体"/>
                <w:color w:val="auto"/>
                <w:sz w:val="24"/>
                <w:szCs w:val="24"/>
                <w:lang w:eastAsia="zh-CN"/>
              </w:rPr>
              <w:t>采购需求</w:t>
            </w:r>
            <w:r>
              <w:rPr>
                <w:rFonts w:hint="eastAsia" w:ascii="宋体" w:hAnsi="宋体" w:eastAsia="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竞争性磋商供应商</w:t>
            </w:r>
          </w:p>
          <w:p>
            <w:pPr>
              <w:jc w:val="center"/>
              <w:rPr>
                <w:rFonts w:hint="eastAsia" w:ascii="宋体" w:hAnsi="宋体" w:eastAsia="宋体" w:cs="宋体"/>
                <w:sz w:val="24"/>
                <w:szCs w:val="24"/>
              </w:rPr>
            </w:pPr>
            <w:r>
              <w:rPr>
                <w:rFonts w:hint="eastAsia" w:ascii="宋体" w:hAnsi="宋体" w:eastAsia="宋体" w:cs="宋体"/>
                <w:sz w:val="24"/>
                <w:szCs w:val="24"/>
              </w:rPr>
              <w:t>资格要求</w:t>
            </w:r>
          </w:p>
        </w:tc>
        <w:tc>
          <w:tcPr>
            <w:tcW w:w="6530" w:type="dxa"/>
            <w:vAlign w:val="center"/>
          </w:tcPr>
          <w:p>
            <w:pPr>
              <w:spacing w:line="336" w:lineRule="auto"/>
              <w:rPr>
                <w:rFonts w:hint="eastAsia" w:ascii="宋体" w:hAnsi="宋体" w:eastAsia="宋体" w:cs="宋体"/>
                <w:color w:val="auto"/>
                <w:sz w:val="24"/>
                <w:szCs w:val="24"/>
              </w:rPr>
            </w:pPr>
            <w:r>
              <w:rPr>
                <w:rFonts w:hint="eastAsia" w:ascii="宋体" w:hAnsi="宋体" w:eastAsia="宋体" w:cs="宋体"/>
                <w:sz w:val="24"/>
                <w:szCs w:val="24"/>
              </w:rPr>
              <w:t>1.满足《中华人民共和国政府采购法》第二十二条规定；未被“信用中国”（www.creditchina.gov.cn)、中国政府采购网（www.ccgp.gov.cn）列入失信被执行人、重大税收</w:t>
            </w:r>
            <w:r>
              <w:rPr>
                <w:rFonts w:hint="eastAsia" w:ascii="宋体" w:hAnsi="宋体" w:eastAsia="宋体" w:cs="宋体"/>
                <w:color w:val="auto"/>
                <w:sz w:val="24"/>
                <w:szCs w:val="24"/>
              </w:rPr>
              <w:t>违法案件当事人名单、政府采购严重违法失信行为记录名单。</w:t>
            </w:r>
          </w:p>
          <w:p>
            <w:pPr>
              <w:spacing w:line="33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落实政府采购政策需满足的资格要求：</w:t>
            </w:r>
            <w:r>
              <w:rPr>
                <w:rFonts w:hint="eastAsia" w:ascii="宋体" w:hAnsi="宋体" w:eastAsia="宋体" w:cs="宋体"/>
                <w:color w:val="auto"/>
                <w:sz w:val="24"/>
                <w:szCs w:val="24"/>
                <w:u w:val="single"/>
                <w:lang w:eastAsia="zh-CN"/>
              </w:rPr>
              <w:t>供应商为中小企业/小微企业</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 </w:t>
            </w:r>
          </w:p>
          <w:p>
            <w:pPr>
              <w:spacing w:line="336" w:lineRule="auto"/>
              <w:rPr>
                <w:rFonts w:hint="eastAsia" w:ascii="宋体" w:hAnsi="宋体" w:eastAsia="宋体" w:cs="宋体"/>
                <w:sz w:val="24"/>
                <w:szCs w:val="24"/>
                <w:lang w:eastAsia="zh-CN"/>
              </w:rPr>
            </w:pPr>
            <w:r>
              <w:rPr>
                <w:rFonts w:hint="eastAsia" w:ascii="宋体" w:hAnsi="宋体" w:eastAsia="宋体" w:cs="宋体"/>
                <w:sz w:val="24"/>
                <w:szCs w:val="24"/>
                <w:highlight w:val="none"/>
              </w:rPr>
              <w:t>3.本项目的特定资格要求：</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1920" w:type="dxa"/>
            <w:vAlign w:val="center"/>
          </w:tcPr>
          <w:p>
            <w:pPr>
              <w:adjustRightInd w:val="0"/>
              <w:jc w:val="center"/>
              <w:rPr>
                <w:rFonts w:hint="eastAsia" w:ascii="宋体" w:hAnsi="宋体" w:eastAsia="宋体" w:cs="宋体"/>
                <w:sz w:val="24"/>
                <w:szCs w:val="24"/>
              </w:rPr>
            </w:pPr>
            <w:r>
              <w:rPr>
                <w:rFonts w:hint="eastAsia" w:ascii="宋体" w:hAnsi="宋体" w:eastAsia="宋体" w:cs="宋体"/>
                <w:sz w:val="24"/>
                <w:szCs w:val="24"/>
              </w:rPr>
              <w:t>是否接受联合体投标</w:t>
            </w:r>
          </w:p>
        </w:tc>
        <w:tc>
          <w:tcPr>
            <w:tcW w:w="6530" w:type="dxa"/>
            <w:vAlign w:val="center"/>
          </w:tcPr>
          <w:p>
            <w:pPr>
              <w:adjustRightInd w:val="0"/>
              <w:rPr>
                <w:rFonts w:hint="eastAsia" w:ascii="宋体" w:hAnsi="宋体" w:eastAsia="宋体" w:cs="宋体"/>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eq \o\ac(□</w:instrText>
            </w:r>
            <w:r>
              <w:rPr>
                <w:rFonts w:hint="eastAsia" w:ascii="宋体" w:hAnsi="宋体" w:eastAsia="宋体" w:cs="宋体"/>
                <w:b/>
                <w:sz w:val="24"/>
                <w:szCs w:val="24"/>
                <w:lang w:eastAsia="zh-CN"/>
              </w:rPr>
              <w:instrText xml:space="preserve">,</w:instrText>
            </w:r>
            <w:r>
              <w:rPr>
                <w:rFonts w:hint="eastAsia" w:ascii="宋体" w:hAnsi="宋体" w:eastAsia="宋体" w:cs="宋体"/>
                <w:b/>
                <w:position w:val="2"/>
                <w:sz w:val="24"/>
                <w:szCs w:val="24"/>
                <w:lang w:eastAsia="zh-CN"/>
              </w:rPr>
              <w:instrText xml:space="preserve">√</w:instrText>
            </w:r>
            <w:r>
              <w:rPr>
                <w:rFonts w:hint="eastAsia" w:ascii="宋体" w:hAnsi="宋体" w:eastAsia="宋体" w:cs="宋体"/>
                <w:b/>
                <w:sz w:val="24"/>
                <w:szCs w:val="24"/>
              </w:rPr>
              <w:instrText xml:space="preserve">)</w:instrText>
            </w:r>
            <w:r>
              <w:rPr>
                <w:rFonts w:hint="eastAsia" w:ascii="宋体" w:hAnsi="宋体" w:eastAsia="宋体" w:cs="宋体"/>
                <w:b/>
                <w:sz w:val="24"/>
                <w:szCs w:val="24"/>
              </w:rPr>
              <w:fldChar w:fldCharType="end"/>
            </w:r>
            <w:r>
              <w:rPr>
                <w:rFonts w:hint="eastAsia" w:ascii="宋体" w:hAnsi="宋体" w:eastAsia="宋体" w:cs="宋体"/>
                <w:sz w:val="24"/>
                <w:szCs w:val="24"/>
              </w:rPr>
              <w:t>不接受</w:t>
            </w:r>
          </w:p>
          <w:p>
            <w:pPr>
              <w:adjustRightInd w:val="0"/>
              <w:rPr>
                <w:rFonts w:hint="eastAsia" w:ascii="宋体" w:hAnsi="宋体" w:eastAsia="宋体" w:cs="宋体"/>
                <w:i/>
                <w:sz w:val="24"/>
                <w:szCs w:val="24"/>
              </w:rPr>
            </w:pPr>
            <w:r>
              <w:rPr>
                <w:rFonts w:hint="eastAsia" w:ascii="宋体" w:hAnsi="宋体" w:eastAsia="宋体" w:cs="宋体"/>
                <w:b/>
                <w:sz w:val="24"/>
                <w:szCs w:val="24"/>
                <w:highlight w:val="none"/>
              </w:rPr>
              <w:fldChar w:fldCharType="begin"/>
            </w:r>
            <w:r>
              <w:rPr>
                <w:rFonts w:hint="eastAsia" w:ascii="宋体" w:hAnsi="宋体" w:eastAsia="宋体" w:cs="宋体"/>
                <w:b/>
                <w:sz w:val="24"/>
                <w:szCs w:val="24"/>
                <w:highlight w:val="none"/>
              </w:rPr>
              <w:instrText xml:space="preserve">eq \o\ac(□)</w:instrText>
            </w:r>
            <w:r>
              <w:rPr>
                <w:rFonts w:hint="eastAsia" w:ascii="宋体" w:hAnsi="宋体" w:eastAsia="宋体" w:cs="宋体"/>
                <w:b/>
                <w:sz w:val="24"/>
                <w:szCs w:val="24"/>
                <w:highlight w:val="none"/>
              </w:rPr>
              <w:fldChar w:fldCharType="end"/>
            </w:r>
            <w:r>
              <w:rPr>
                <w:rFonts w:hint="eastAsia" w:ascii="宋体" w:hAnsi="宋体" w:eastAsia="宋体" w:cs="宋体"/>
                <w:sz w:val="24"/>
                <w:szCs w:val="24"/>
                <w:highlight w:val="none"/>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1920" w:type="dxa"/>
            <w:vAlign w:val="center"/>
          </w:tcPr>
          <w:p>
            <w:pPr>
              <w:adjustRightInd w:val="0"/>
              <w:jc w:val="center"/>
              <w:rPr>
                <w:rFonts w:hint="eastAsia" w:ascii="宋体" w:hAnsi="宋体" w:eastAsia="宋体" w:cs="宋体"/>
                <w:sz w:val="24"/>
                <w:szCs w:val="24"/>
              </w:rPr>
            </w:pPr>
            <w:r>
              <w:rPr>
                <w:rFonts w:hint="eastAsia" w:ascii="宋体" w:hAnsi="宋体" w:eastAsia="宋体" w:cs="宋体"/>
                <w:sz w:val="24"/>
                <w:szCs w:val="24"/>
              </w:rPr>
              <w:t>踏勘现场</w:t>
            </w:r>
          </w:p>
        </w:tc>
        <w:tc>
          <w:tcPr>
            <w:tcW w:w="6530" w:type="dxa"/>
            <w:vAlign w:val="center"/>
          </w:tcPr>
          <w:p>
            <w:pPr>
              <w:adjustRightInd w:val="0"/>
              <w:rPr>
                <w:rFonts w:hint="eastAsia" w:ascii="宋体" w:hAnsi="宋体" w:eastAsia="宋体" w:cs="宋体"/>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eq \o\ac(□,√)</w:instrText>
            </w:r>
            <w:r>
              <w:rPr>
                <w:rFonts w:hint="eastAsia" w:ascii="宋体" w:hAnsi="宋体" w:eastAsia="宋体" w:cs="宋体"/>
                <w:b/>
                <w:sz w:val="24"/>
                <w:szCs w:val="24"/>
              </w:rPr>
              <w:fldChar w:fldCharType="end"/>
            </w:r>
            <w:r>
              <w:rPr>
                <w:rFonts w:hint="eastAsia" w:ascii="宋体" w:hAnsi="宋体" w:eastAsia="宋体" w:cs="宋体"/>
                <w:sz w:val="24"/>
                <w:szCs w:val="24"/>
              </w:rPr>
              <w:t>不组织</w:t>
            </w:r>
          </w:p>
          <w:p>
            <w:pPr>
              <w:adjustRightInd w:val="0"/>
              <w:rPr>
                <w:rFonts w:hint="eastAsia" w:ascii="宋体" w:hAnsi="宋体" w:eastAsia="宋体" w:cs="宋体"/>
                <w:i/>
                <w:sz w:val="24"/>
                <w:szCs w:val="24"/>
              </w:rPr>
            </w:pPr>
            <w:r>
              <w:rPr>
                <w:rFonts w:hint="eastAsia" w:ascii="宋体" w:hAnsi="宋体" w:eastAsia="宋体" w:cs="宋体"/>
                <w:sz w:val="24"/>
                <w:szCs w:val="24"/>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20" w:type="dxa"/>
            <w:vAlign w:val="center"/>
          </w:tcPr>
          <w:p>
            <w:pPr>
              <w:adjustRightIn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是否允许递交备选投标方案</w:t>
            </w:r>
          </w:p>
        </w:tc>
        <w:tc>
          <w:tcPr>
            <w:tcW w:w="6530" w:type="dxa"/>
            <w:vAlign w:val="center"/>
          </w:tcPr>
          <w:p>
            <w:pPr>
              <w:adjustRightInd w:val="0"/>
              <w:spacing w:line="276" w:lineRule="auto"/>
              <w:rPr>
                <w:rFonts w:hint="eastAsia" w:ascii="宋体" w:hAnsi="宋体" w:eastAsia="宋体" w:cs="宋体"/>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eq \o\ac(□,√)</w:instrText>
            </w:r>
            <w:r>
              <w:rPr>
                <w:rFonts w:hint="eastAsia" w:ascii="宋体" w:hAnsi="宋体" w:eastAsia="宋体" w:cs="宋体"/>
                <w:b/>
                <w:sz w:val="24"/>
                <w:szCs w:val="24"/>
              </w:rPr>
              <w:fldChar w:fldCharType="end"/>
            </w:r>
            <w:r>
              <w:rPr>
                <w:rFonts w:hint="eastAsia" w:ascii="宋体" w:hAnsi="宋体" w:eastAsia="宋体" w:cs="宋体"/>
                <w:sz w:val="24"/>
                <w:szCs w:val="24"/>
              </w:rPr>
              <w:t>不允许</w:t>
            </w:r>
          </w:p>
          <w:p>
            <w:pPr>
              <w:adjustRightInd w:val="0"/>
              <w:spacing w:line="276" w:lineRule="auto"/>
              <w:rPr>
                <w:rFonts w:hint="eastAsia" w:ascii="宋体" w:hAnsi="宋体" w:eastAsia="宋体" w:cs="宋体"/>
                <w:sz w:val="24"/>
                <w:szCs w:val="24"/>
              </w:rPr>
            </w:pPr>
            <w:r>
              <w:rPr>
                <w:rFonts w:hint="eastAsia" w:ascii="宋体" w:hAnsi="宋体" w:eastAsia="宋体" w:cs="宋体"/>
                <w:sz w:val="24"/>
                <w:szCs w:val="24"/>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1920" w:type="dxa"/>
            <w:vAlign w:val="center"/>
          </w:tcPr>
          <w:p>
            <w:pPr>
              <w:adjustRightInd w:val="0"/>
              <w:jc w:val="center"/>
              <w:rPr>
                <w:rFonts w:hint="eastAsia" w:ascii="宋体" w:hAnsi="宋体" w:eastAsia="宋体" w:cs="宋体"/>
                <w:sz w:val="24"/>
                <w:szCs w:val="24"/>
              </w:rPr>
            </w:pPr>
            <w:r>
              <w:rPr>
                <w:rFonts w:hint="eastAsia" w:ascii="宋体" w:hAnsi="宋体" w:eastAsia="宋体" w:cs="宋体"/>
                <w:sz w:val="24"/>
                <w:szCs w:val="24"/>
              </w:rPr>
              <w:t>报价货币</w:t>
            </w:r>
          </w:p>
        </w:tc>
        <w:tc>
          <w:tcPr>
            <w:tcW w:w="6530" w:type="dxa"/>
            <w:vAlign w:val="center"/>
          </w:tcPr>
          <w:p>
            <w:pPr>
              <w:adjustRightInd w:val="0"/>
              <w:rPr>
                <w:rFonts w:hint="eastAsia" w:ascii="宋体" w:hAnsi="宋体" w:eastAsia="宋体" w:cs="宋体"/>
                <w:sz w:val="24"/>
                <w:szCs w:val="24"/>
              </w:rPr>
            </w:pPr>
            <w:r>
              <w:rPr>
                <w:rFonts w:hint="eastAsia" w:ascii="宋体" w:hAnsi="宋体" w:eastAsia="宋体" w:cs="宋体"/>
                <w:sz w:val="24"/>
                <w:szCs w:val="24"/>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1920" w:type="dxa"/>
            <w:vAlign w:val="center"/>
          </w:tcPr>
          <w:p>
            <w:pPr>
              <w:adjustRightInd w:val="0"/>
              <w:jc w:val="center"/>
              <w:rPr>
                <w:rFonts w:hint="eastAsia" w:ascii="宋体" w:hAnsi="宋体" w:eastAsia="宋体" w:cs="宋体"/>
                <w:sz w:val="24"/>
                <w:szCs w:val="24"/>
                <w:lang w:eastAsia="zh-CN"/>
              </w:rPr>
            </w:pPr>
            <w:r>
              <w:rPr>
                <w:rFonts w:hint="eastAsia" w:ascii="宋体" w:hAnsi="宋体" w:cs="宋体"/>
                <w:sz w:val="24"/>
                <w:szCs w:val="24"/>
                <w:lang w:eastAsia="zh-CN"/>
              </w:rPr>
              <w:t>最高限价</w:t>
            </w:r>
          </w:p>
        </w:tc>
        <w:tc>
          <w:tcPr>
            <w:tcW w:w="6530" w:type="dxa"/>
            <w:vAlign w:val="center"/>
          </w:tcPr>
          <w:p>
            <w:pPr>
              <w:adjustRightInd w:val="0"/>
              <w:rPr>
                <w:rFonts w:hint="default" w:ascii="宋体" w:hAnsi="宋体" w:eastAsia="宋体" w:cs="宋体"/>
                <w:sz w:val="24"/>
                <w:szCs w:val="24"/>
                <w:lang w:val="en-US" w:eastAsia="zh-CN"/>
              </w:rPr>
            </w:pPr>
            <w:r>
              <w:rPr>
                <w:rFonts w:hint="eastAsia" w:ascii="宋体" w:hAnsi="宋体" w:cs="宋体"/>
                <w:sz w:val="24"/>
                <w:szCs w:val="24"/>
                <w:highlight w:val="none"/>
                <w:lang w:eastAsia="zh-CN"/>
              </w:rPr>
              <w:t>项目最高限价为</w:t>
            </w:r>
            <w:r>
              <w:rPr>
                <w:rFonts w:hint="eastAsia" w:ascii="宋体" w:hAnsi="宋体" w:cs="宋体"/>
                <w:sz w:val="24"/>
                <w:szCs w:val="24"/>
                <w:highlight w:val="none"/>
                <w:lang w:val="en-US" w:eastAsia="zh-CN"/>
              </w:rPr>
              <w:t>40万元（其中消杀最高限价为30万元，设备最高限价为10万元）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竞争性磋商纸质响应文件份数</w:t>
            </w:r>
          </w:p>
        </w:tc>
        <w:tc>
          <w:tcPr>
            <w:tcW w:w="6530" w:type="dxa"/>
            <w:vAlign w:val="center"/>
          </w:tcPr>
          <w:p>
            <w:pPr>
              <w:pStyle w:val="21"/>
              <w:jc w:val="both"/>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竞争性磋商有效期</w:t>
            </w:r>
          </w:p>
        </w:tc>
        <w:tc>
          <w:tcPr>
            <w:tcW w:w="6530" w:type="dxa"/>
            <w:vAlign w:val="center"/>
          </w:tcPr>
          <w:p>
            <w:pPr>
              <w:rPr>
                <w:rFonts w:hint="eastAsia" w:ascii="宋体" w:hAnsi="宋体" w:eastAsia="宋体" w:cs="宋体"/>
                <w:sz w:val="24"/>
                <w:szCs w:val="24"/>
              </w:rPr>
            </w:pPr>
            <w:r>
              <w:rPr>
                <w:rFonts w:hint="eastAsia" w:ascii="宋体" w:hAnsi="宋体" w:eastAsia="宋体" w:cs="宋体"/>
                <w:sz w:val="24"/>
                <w:szCs w:val="24"/>
              </w:rPr>
              <w:t>提交竞争性磋商响应文件截止日起60天。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签字或盖章要求</w:t>
            </w:r>
          </w:p>
        </w:tc>
        <w:tc>
          <w:tcPr>
            <w:tcW w:w="6530" w:type="dxa"/>
            <w:vAlign w:val="center"/>
          </w:tcPr>
          <w:p>
            <w:pPr>
              <w:rPr>
                <w:rFonts w:hint="eastAsia" w:ascii="宋体" w:hAnsi="宋体" w:eastAsia="宋体" w:cs="宋体"/>
                <w:sz w:val="24"/>
                <w:szCs w:val="24"/>
              </w:rPr>
            </w:pPr>
            <w:r>
              <w:rPr>
                <w:rFonts w:hint="eastAsia" w:ascii="宋体" w:hAnsi="宋体" w:eastAsia="宋体" w:cs="宋体"/>
                <w:sz w:val="24"/>
                <w:szCs w:val="24"/>
              </w:rPr>
              <w:t>竞争性磋商响应文件中需签字或盖章的地方均加盖竞争性磋商供应商单位全称的公章，不得使用投标专用章、合同章等类似图章代替，并经法定代表人或其委托代理人签字或盖章，否则作无效标处理。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密封、装订要求</w:t>
            </w:r>
          </w:p>
        </w:tc>
        <w:tc>
          <w:tcPr>
            <w:tcW w:w="6530" w:type="dxa"/>
            <w:vAlign w:val="center"/>
          </w:tcPr>
          <w:p>
            <w:pP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51"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竞争性磋商样品</w:t>
            </w:r>
          </w:p>
        </w:tc>
        <w:tc>
          <w:tcPr>
            <w:tcW w:w="6530" w:type="dxa"/>
            <w:vAlign w:val="center"/>
          </w:tcPr>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sz w:val="24"/>
                <w:szCs w:val="24"/>
              </w:rPr>
              <w:fldChar w:fldCharType="end"/>
            </w:r>
            <w:r>
              <w:rPr>
                <w:rFonts w:hint="eastAsia" w:ascii="宋体" w:hAnsi="宋体" w:eastAsia="宋体" w:cs="宋体"/>
                <w:sz w:val="24"/>
                <w:szCs w:val="24"/>
              </w:rPr>
              <w:t>不需要</w:t>
            </w:r>
          </w:p>
          <w:p>
            <w:pPr>
              <w:rPr>
                <w:rFonts w:hint="eastAsia" w:ascii="宋体" w:hAnsi="宋体" w:eastAsia="宋体" w:cs="宋体"/>
                <w:sz w:val="24"/>
                <w:szCs w:val="24"/>
              </w:rPr>
            </w:pPr>
            <w:r>
              <w:rPr>
                <w:rFonts w:hint="eastAsia" w:ascii="宋体" w:hAnsi="宋体" w:eastAsia="宋体" w:cs="宋体"/>
                <w:sz w:val="24"/>
                <w:szCs w:val="24"/>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53"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投标保证金</w:t>
            </w:r>
          </w:p>
        </w:tc>
        <w:tc>
          <w:tcPr>
            <w:tcW w:w="6530" w:type="dxa"/>
            <w:vAlign w:val="center"/>
          </w:tcPr>
          <w:p>
            <w:pPr>
              <w:rPr>
                <w:rFonts w:hint="eastAsia" w:ascii="宋体" w:hAnsi="宋体" w:eastAsia="宋体" w:cs="宋体"/>
                <w:sz w:val="24"/>
                <w:szCs w:val="24"/>
              </w:rPr>
            </w:pPr>
            <w:r>
              <w:rPr>
                <w:rFonts w:hint="eastAsia" w:ascii="宋体" w:hAnsi="宋体" w:eastAsia="宋体" w:cs="宋体"/>
                <w:sz w:val="24"/>
                <w:szCs w:val="24"/>
              </w:rPr>
              <w:t>不设保证金。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1920" w:type="dxa"/>
            <w:vAlign w:val="center"/>
          </w:tcPr>
          <w:p>
            <w:pPr>
              <w:adjustRightIn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履约担保</w:t>
            </w:r>
          </w:p>
        </w:tc>
        <w:tc>
          <w:tcPr>
            <w:tcW w:w="6530" w:type="dxa"/>
            <w:vAlign w:val="center"/>
          </w:tcPr>
          <w:p>
            <w:pPr>
              <w:rPr>
                <w:rFonts w:hint="eastAsia" w:ascii="宋体" w:hAnsi="宋体" w:eastAsia="宋体" w:cs="宋体"/>
                <w:sz w:val="24"/>
                <w:szCs w:val="24"/>
                <w:highlight w:val="none"/>
              </w:rPr>
            </w:pPr>
            <w:r>
              <w:rPr>
                <w:rFonts w:hint="eastAsia" w:ascii="宋体" w:hAnsi="宋体" w:eastAsia="宋体" w:cs="宋体"/>
                <w:b/>
                <w:bCs/>
                <w:sz w:val="24"/>
                <w:szCs w:val="24"/>
                <w:highlight w:val="none"/>
              </w:rPr>
              <w:fldChar w:fldCharType="begin"/>
            </w:r>
            <w:r>
              <w:rPr>
                <w:rFonts w:hint="eastAsia" w:ascii="宋体" w:hAnsi="宋体" w:eastAsia="宋体" w:cs="宋体"/>
                <w:b/>
                <w:bCs/>
                <w:sz w:val="24"/>
                <w:szCs w:val="24"/>
                <w:highlight w:val="none"/>
              </w:rPr>
              <w:instrText xml:space="preserve">eq \o\ac(□</w:instrText>
            </w:r>
            <w:r>
              <w:rPr>
                <w:rFonts w:hint="eastAsia" w:ascii="宋体" w:hAnsi="宋体" w:eastAsia="宋体" w:cs="宋体"/>
                <w:b/>
                <w:bCs/>
                <w:sz w:val="24"/>
                <w:szCs w:val="24"/>
                <w:highlight w:val="none"/>
                <w:lang w:eastAsia="zh-CN"/>
              </w:rPr>
              <w:instrText xml:space="preserve">,</w:instrText>
            </w:r>
            <w:r>
              <w:rPr>
                <w:rFonts w:hint="eastAsia" w:ascii="宋体" w:hAnsi="宋体" w:eastAsia="宋体" w:cs="宋体"/>
                <w:b/>
                <w:bCs/>
                <w:position w:val="2"/>
                <w:sz w:val="24"/>
                <w:szCs w:val="24"/>
                <w:highlight w:val="none"/>
                <w:lang w:eastAsia="zh-CN"/>
              </w:rPr>
              <w:instrText xml:space="preserve">√</w:instrText>
            </w:r>
            <w:r>
              <w:rPr>
                <w:rFonts w:hint="eastAsia" w:ascii="宋体" w:hAnsi="宋体" w:eastAsia="宋体" w:cs="宋体"/>
                <w:b/>
                <w:bCs/>
                <w:sz w:val="24"/>
                <w:szCs w:val="24"/>
                <w:highlight w:val="none"/>
              </w:rPr>
              <w:instrText xml:space="preserve">)</w:instrText>
            </w:r>
            <w:r>
              <w:rPr>
                <w:rFonts w:hint="eastAsia" w:ascii="宋体" w:hAnsi="宋体" w:eastAsia="宋体" w:cs="宋体"/>
                <w:b/>
                <w:bCs/>
                <w:sz w:val="24"/>
                <w:szCs w:val="24"/>
                <w:highlight w:val="none"/>
              </w:rPr>
              <w:fldChar w:fldCharType="end"/>
            </w:r>
            <w:r>
              <w:rPr>
                <w:rFonts w:hint="eastAsia" w:ascii="宋体" w:hAnsi="宋体" w:eastAsia="宋体" w:cs="宋体"/>
                <w:sz w:val="24"/>
                <w:szCs w:val="24"/>
                <w:highlight w:val="none"/>
              </w:rPr>
              <w:t>不需要</w:t>
            </w:r>
          </w:p>
          <w:p>
            <w:pPr>
              <w:adjustRightInd w:val="0"/>
              <w:rPr>
                <w:rFonts w:hint="eastAsia" w:ascii="宋体" w:hAnsi="宋体" w:eastAsia="宋体" w:cs="宋体"/>
                <w:sz w:val="24"/>
                <w:szCs w:val="24"/>
                <w:highlight w:val="none"/>
              </w:rPr>
            </w:pPr>
            <w:r>
              <w:rPr>
                <w:rFonts w:hint="eastAsia" w:ascii="宋体" w:hAnsi="宋体" w:eastAsia="宋体" w:cs="宋体"/>
                <w:b/>
                <w:bCs/>
                <w:sz w:val="24"/>
                <w:szCs w:val="24"/>
                <w:highlight w:val="none"/>
              </w:rPr>
              <w:fldChar w:fldCharType="begin"/>
            </w:r>
            <w:r>
              <w:rPr>
                <w:rFonts w:hint="eastAsia" w:ascii="宋体" w:hAnsi="宋体" w:eastAsia="宋体" w:cs="宋体"/>
                <w:b/>
                <w:bCs/>
                <w:sz w:val="24"/>
                <w:szCs w:val="24"/>
                <w:highlight w:val="none"/>
              </w:rPr>
              <w:instrText xml:space="preserve">eq \o\ac(□)</w:instrText>
            </w:r>
            <w:r>
              <w:rPr>
                <w:rFonts w:hint="eastAsia" w:ascii="宋体" w:hAnsi="宋体" w:eastAsia="宋体" w:cs="宋体"/>
                <w:b/>
                <w:bCs/>
                <w:sz w:val="24"/>
                <w:szCs w:val="24"/>
                <w:highlight w:val="none"/>
              </w:rPr>
              <w:fldChar w:fldCharType="end"/>
            </w:r>
            <w:r>
              <w:rPr>
                <w:rFonts w:hint="eastAsia" w:ascii="宋体" w:hAnsi="宋体" w:eastAsia="宋体" w:cs="宋体"/>
                <w:sz w:val="24"/>
                <w:szCs w:val="24"/>
                <w:highlight w:val="none"/>
              </w:rPr>
              <w:t>需要同采购人缴纳人民币</w:t>
            </w:r>
            <w:r>
              <w:rPr>
                <w:rFonts w:hint="eastAsia" w:ascii="宋体" w:hAnsi="宋体" w:eastAsia="宋体" w:cs="宋体"/>
                <w:b/>
                <w:sz w:val="24"/>
                <w:szCs w:val="24"/>
                <w:highlight w:val="none"/>
                <w:u w:val="single"/>
                <w:lang w:val="en-US" w:eastAsia="zh-CN"/>
              </w:rPr>
              <w:t>/</w:t>
            </w:r>
            <w:r>
              <w:rPr>
                <w:rFonts w:hint="eastAsia" w:ascii="宋体" w:hAnsi="宋体" w:eastAsia="宋体" w:cs="宋体"/>
                <w:sz w:val="24"/>
                <w:szCs w:val="24"/>
                <w:highlight w:val="none"/>
              </w:rPr>
              <w:t>的履约保证金（现金或银行保函），在项目服务期满后</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个工作日内无息退还。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9"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竞争性磋商报名时间及获取方式</w:t>
            </w:r>
          </w:p>
        </w:tc>
        <w:tc>
          <w:tcPr>
            <w:tcW w:w="6530" w:type="dxa"/>
            <w:vAlign w:val="center"/>
          </w:tcPr>
          <w:p>
            <w:pPr>
              <w:rPr>
                <w:rFonts w:hint="eastAsia" w:ascii="宋体" w:hAnsi="宋体" w:eastAsia="宋体" w:cs="宋体"/>
                <w:sz w:val="24"/>
                <w:szCs w:val="24"/>
              </w:rPr>
            </w:pPr>
            <w:r>
              <w:rPr>
                <w:rFonts w:hint="eastAsia" w:ascii="宋体" w:hAnsi="宋体" w:eastAsia="宋体" w:cs="宋体"/>
                <w:sz w:val="24"/>
                <w:szCs w:val="24"/>
              </w:rPr>
              <w:t>竞争性磋商报名时间：磋商公告发布之日起至投标截止时间；</w:t>
            </w:r>
          </w:p>
          <w:p>
            <w:pPr>
              <w:rPr>
                <w:rFonts w:hint="eastAsia" w:ascii="宋体" w:hAnsi="宋体" w:eastAsia="宋体" w:cs="宋体"/>
                <w:sz w:val="24"/>
                <w:szCs w:val="24"/>
              </w:rPr>
            </w:pPr>
            <w:r>
              <w:rPr>
                <w:rFonts w:hint="eastAsia" w:ascii="宋体" w:hAnsi="宋体" w:eastAsia="宋体" w:cs="宋体"/>
                <w:sz w:val="24"/>
                <w:szCs w:val="24"/>
              </w:rPr>
              <w:t>获取方式：在线下载获取。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1920" w:type="dxa"/>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竞争性磋商响应文件递交方式及截止时间</w:t>
            </w:r>
          </w:p>
        </w:tc>
        <w:tc>
          <w:tcPr>
            <w:tcW w:w="6530" w:type="dxa"/>
            <w:vAlign w:val="center"/>
          </w:tcPr>
          <w:p>
            <w:pPr>
              <w:spacing w:line="360" w:lineRule="auto"/>
              <w:rPr>
                <w:rFonts w:hint="eastAsia" w:ascii="宋体" w:hAnsi="宋体" w:eastAsia="宋体" w:cs="宋体"/>
                <w:b/>
                <w:color w:val="auto"/>
                <w:sz w:val="24"/>
                <w:szCs w:val="24"/>
              </w:rPr>
            </w:pPr>
            <w:r>
              <w:rPr>
                <w:rFonts w:hint="eastAsia" w:ascii="宋体" w:hAnsi="宋体" w:eastAsia="宋体" w:cs="宋体"/>
                <w:color w:val="auto"/>
                <w:sz w:val="24"/>
                <w:szCs w:val="24"/>
              </w:rPr>
              <w:t>竞争性磋商响应文件递交方式：</w:t>
            </w:r>
            <w:r>
              <w:rPr>
                <w:rFonts w:hint="eastAsia" w:ascii="宋体" w:hAnsi="宋体" w:eastAsia="宋体" w:cs="宋体"/>
                <w:color w:val="auto"/>
                <w:sz w:val="24"/>
                <w:szCs w:val="24"/>
                <w:u w:val="single"/>
              </w:rPr>
              <w:t>通过“政府采购云平台”实行在线投标响应</w:t>
            </w:r>
            <w:r>
              <w:rPr>
                <w:rFonts w:hint="eastAsia" w:ascii="宋体" w:hAnsi="宋体" w:eastAsia="宋体" w:cs="宋体"/>
                <w:color w:val="auto"/>
                <w:sz w:val="24"/>
                <w:szCs w:val="24"/>
              </w:rPr>
              <w:t>。截止上传时间：2024年05月08日 09:00</w:t>
            </w:r>
            <w:r>
              <w:rPr>
                <w:rFonts w:hint="eastAsia" w:ascii="宋体" w:hAnsi="宋体" w:eastAsia="宋体" w:cs="宋体"/>
                <w:color w:val="auto"/>
                <w:kern w:val="0"/>
                <w:sz w:val="24"/>
                <w:szCs w:val="24"/>
                <w:lang w:val="en-US" w:eastAsia="zh-CN" w:bidi="ar-SA"/>
              </w:rPr>
              <w:t>（北京时间）</w:t>
            </w:r>
          </w:p>
          <w:p>
            <w:pPr>
              <w:rPr>
                <w:rFonts w:hint="eastAsia" w:ascii="宋体" w:hAnsi="宋体" w:eastAsia="宋体" w:cs="宋体"/>
                <w:color w:val="auto"/>
                <w:sz w:val="24"/>
                <w:szCs w:val="24"/>
              </w:rPr>
            </w:pPr>
            <w:r>
              <w:rPr>
                <w:rFonts w:hint="eastAsia" w:ascii="宋体" w:hAnsi="宋体" w:eastAsia="宋体" w:cs="宋体"/>
                <w:color w:val="auto"/>
                <w:sz w:val="24"/>
                <w:szCs w:val="24"/>
              </w:rPr>
              <w:t>“电子加密投标文件”的上传、递交：</w:t>
            </w:r>
          </w:p>
          <w:p>
            <w:pPr>
              <w:rPr>
                <w:rFonts w:hint="eastAsia" w:ascii="宋体" w:hAnsi="宋体" w:eastAsia="宋体" w:cs="宋体"/>
                <w:color w:val="auto"/>
                <w:sz w:val="24"/>
                <w:szCs w:val="24"/>
              </w:rPr>
            </w:pPr>
            <w:r>
              <w:rPr>
                <w:rFonts w:hint="eastAsia" w:ascii="宋体" w:hAnsi="宋体" w:eastAsia="宋体" w:cs="宋体"/>
                <w:color w:val="auto"/>
                <w:sz w:val="24"/>
                <w:szCs w:val="24"/>
              </w:rPr>
              <w:t>（1）投标供应商应在投标截止时间前将“电子加密投标文件”成功上传递交至“政府采购云平台”，否则投标无效。</w:t>
            </w:r>
          </w:p>
          <w:p>
            <w:pPr>
              <w:rPr>
                <w:rFonts w:hint="eastAsia" w:ascii="宋体" w:hAnsi="宋体" w:eastAsia="宋体" w:cs="宋体"/>
                <w:b/>
                <w:color w:val="auto"/>
                <w:sz w:val="24"/>
                <w:szCs w:val="24"/>
              </w:rPr>
            </w:pPr>
            <w:r>
              <w:rPr>
                <w:rFonts w:hint="eastAsia" w:ascii="宋体" w:hAnsi="宋体" w:eastAsia="宋体" w:cs="宋体"/>
                <w:color w:val="auto"/>
                <w:sz w:val="24"/>
                <w:szCs w:val="24"/>
              </w:rPr>
              <w:t>（2）“电子加密投标文件”成功上传递交后，供应商可自行打印投标文件接收回执。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22</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竞争性磋商开始时间</w:t>
            </w:r>
            <w:r>
              <w:rPr>
                <w:rFonts w:hint="eastAsia" w:ascii="宋体" w:hAnsi="宋体" w:eastAsia="宋体" w:cs="宋体"/>
                <w:sz w:val="24"/>
                <w:szCs w:val="24"/>
                <w:lang w:eastAsia="zh-CN"/>
              </w:rPr>
              <w:t>和</w:t>
            </w:r>
            <w:r>
              <w:rPr>
                <w:rFonts w:hint="eastAsia" w:ascii="宋体" w:hAnsi="宋体" w:eastAsia="宋体" w:cs="宋体"/>
                <w:sz w:val="24"/>
                <w:szCs w:val="24"/>
              </w:rPr>
              <w:t>地点</w:t>
            </w:r>
          </w:p>
        </w:tc>
        <w:tc>
          <w:tcPr>
            <w:tcW w:w="653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竞争性磋商开始时间：</w:t>
            </w:r>
            <w:r>
              <w:rPr>
                <w:rFonts w:hint="eastAsia" w:ascii="宋体" w:hAnsi="宋体" w:cs="宋体"/>
                <w:color w:val="auto"/>
                <w:kern w:val="0"/>
                <w:sz w:val="24"/>
                <w:szCs w:val="24"/>
                <w:lang w:val="en-US" w:eastAsia="zh-CN" w:bidi="ar-SA"/>
              </w:rPr>
              <w:t>同</w:t>
            </w:r>
            <w:r>
              <w:rPr>
                <w:rFonts w:hint="eastAsia" w:ascii="宋体" w:hAnsi="宋体" w:eastAsia="宋体" w:cs="宋体"/>
                <w:sz w:val="24"/>
                <w:szCs w:val="24"/>
              </w:rPr>
              <w:t>响应文件递交截止时间</w:t>
            </w:r>
          </w:p>
          <w:p>
            <w:pPr>
              <w:rPr>
                <w:rFonts w:hint="eastAsia" w:ascii="宋体" w:hAnsi="宋体" w:eastAsia="宋体" w:cs="宋体"/>
                <w:color w:val="auto"/>
                <w:sz w:val="24"/>
                <w:szCs w:val="24"/>
              </w:rPr>
            </w:pPr>
            <w:r>
              <w:rPr>
                <w:rFonts w:hint="eastAsia" w:ascii="宋体" w:hAnsi="宋体" w:eastAsia="宋体" w:cs="宋体"/>
                <w:color w:val="auto"/>
                <w:sz w:val="24"/>
                <w:szCs w:val="24"/>
              </w:rPr>
              <w:t>竞争性磋商地点：</w:t>
            </w:r>
            <w:r>
              <w:rPr>
                <w:rFonts w:hint="eastAsia" w:ascii="宋体" w:hAnsi="宋体" w:eastAsia="宋体" w:cs="宋体"/>
                <w:color w:val="auto"/>
                <w:sz w:val="24"/>
                <w:szCs w:val="24"/>
                <w:lang w:eastAsia="zh-CN"/>
              </w:rPr>
              <w:t>嘉兴鼎晟工程管理有限公司</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海盐县武原街道新桥南路</w:t>
            </w:r>
            <w:r>
              <w:rPr>
                <w:rFonts w:hint="eastAsia" w:ascii="宋体" w:hAnsi="宋体" w:eastAsia="宋体" w:cs="宋体"/>
                <w:color w:val="auto"/>
                <w:sz w:val="24"/>
                <w:szCs w:val="24"/>
                <w:lang w:val="en-US" w:eastAsia="zh-CN"/>
              </w:rPr>
              <w:t>41号402</w:t>
            </w:r>
            <w:r>
              <w:rPr>
                <w:rFonts w:hint="eastAsia" w:ascii="宋体" w:hAnsi="宋体" w:eastAsia="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9"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23</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竞争性磋商</w:t>
            </w:r>
          </w:p>
          <w:p>
            <w:pPr>
              <w:jc w:val="center"/>
              <w:rPr>
                <w:rFonts w:hint="eastAsia" w:ascii="宋体" w:hAnsi="宋体" w:eastAsia="宋体" w:cs="宋体"/>
                <w:sz w:val="24"/>
                <w:szCs w:val="24"/>
              </w:rPr>
            </w:pPr>
            <w:r>
              <w:rPr>
                <w:rFonts w:hint="eastAsia" w:ascii="宋体" w:hAnsi="宋体" w:eastAsia="宋体" w:cs="宋体"/>
                <w:sz w:val="24"/>
                <w:szCs w:val="24"/>
              </w:rPr>
              <w:t>开标程序</w:t>
            </w:r>
          </w:p>
        </w:tc>
        <w:tc>
          <w:tcPr>
            <w:tcW w:w="6530" w:type="dxa"/>
            <w:vAlign w:val="center"/>
          </w:tcPr>
          <w:p>
            <w:pPr>
              <w:rPr>
                <w:rFonts w:hint="eastAsia" w:ascii="宋体" w:hAnsi="宋体" w:eastAsia="宋体" w:cs="宋体"/>
                <w:sz w:val="24"/>
                <w:szCs w:val="24"/>
              </w:rPr>
            </w:pPr>
            <w:r>
              <w:rPr>
                <w:rFonts w:hint="eastAsia" w:ascii="宋体" w:hAnsi="宋体" w:eastAsia="宋体" w:cs="宋体"/>
                <w:sz w:val="24"/>
                <w:szCs w:val="24"/>
              </w:rPr>
              <w:t>（1）开标后，采购组织机构将向各投标供应商发出“电子加密投标文件”的解密通知，各投标供应商代表应当在接到解密通知后30分钟内自行完成“电子加密投标文件”的在线解密。</w:t>
            </w:r>
          </w:p>
          <w:p>
            <w:pPr>
              <w:rPr>
                <w:rFonts w:hint="eastAsia" w:ascii="宋体" w:hAnsi="宋体" w:eastAsia="宋体" w:cs="宋体"/>
                <w:sz w:val="24"/>
                <w:szCs w:val="24"/>
              </w:rPr>
            </w:pPr>
            <w:r>
              <w:rPr>
                <w:rFonts w:hint="eastAsia" w:ascii="宋体" w:hAnsi="宋体" w:eastAsia="宋体" w:cs="宋体"/>
                <w:sz w:val="24"/>
                <w:szCs w:val="24"/>
              </w:rPr>
              <w:t>（2）通过“政府采购云平台”成功上传递交的“电子加密投标文件”无法按时解密，投标供应商如按规定递交了“备份投标文件存储的数据电文”的，以“备份投标文件存储的数据电文”为依据（由采购组织机构按“政府采购云平台”操作规范将“备份投标文件.bfbs”上传至“政府采购云平台”，上传成功后，“电子加密投标文件”自动失效），否则视为投标文件撤回。</w:t>
            </w:r>
          </w:p>
          <w:p>
            <w:pPr>
              <w:rPr>
                <w:rFonts w:hint="eastAsia" w:ascii="宋体" w:hAnsi="宋体" w:eastAsia="宋体" w:cs="宋体"/>
                <w:sz w:val="24"/>
                <w:szCs w:val="24"/>
              </w:rPr>
            </w:pPr>
            <w:r>
              <w:rPr>
                <w:rFonts w:hint="eastAsia" w:ascii="宋体" w:hAnsi="宋体" w:eastAsia="宋体" w:cs="宋体"/>
                <w:sz w:val="24"/>
                <w:szCs w:val="24"/>
              </w:rPr>
              <w:t>（3）投标截止时间前，投标供应商仅递交了“备份投标文件”而未将电子加密投标文件上传至“政府采购云平台”的，投标无效。</w:t>
            </w:r>
          </w:p>
          <w:p>
            <w:pPr>
              <w:rPr>
                <w:rFonts w:hint="eastAsia" w:ascii="宋体" w:hAnsi="宋体" w:eastAsia="宋体" w:cs="宋体"/>
                <w:sz w:val="24"/>
                <w:szCs w:val="24"/>
              </w:rPr>
            </w:pPr>
            <w:r>
              <w:rPr>
                <w:rFonts w:hint="eastAsia" w:ascii="宋体" w:hAnsi="宋体" w:eastAsia="宋体" w:cs="宋体"/>
                <w:sz w:val="24"/>
                <w:szCs w:val="24"/>
              </w:rPr>
              <w:t>（4）投标截止时间前，投标供应商未递交“备份投标文件”而将电子加密投标文件上传至“政府采购云平台”并成功解密的，投标有效。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24</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竞争性磋商小组的组建</w:t>
            </w:r>
          </w:p>
        </w:tc>
        <w:tc>
          <w:tcPr>
            <w:tcW w:w="6530" w:type="dxa"/>
            <w:vAlign w:val="center"/>
          </w:tcPr>
          <w:p>
            <w:pPr>
              <w:rPr>
                <w:rFonts w:hint="eastAsia" w:ascii="宋体" w:hAnsi="宋体" w:eastAsia="宋体" w:cs="宋体"/>
                <w:sz w:val="24"/>
                <w:szCs w:val="24"/>
              </w:rPr>
            </w:pPr>
            <w:r>
              <w:rPr>
                <w:rFonts w:hint="eastAsia" w:ascii="宋体" w:hAnsi="宋体" w:eastAsia="宋体" w:cs="宋体"/>
                <w:sz w:val="24"/>
                <w:szCs w:val="24"/>
              </w:rPr>
              <w:t>竞争性磋商小组的构成：由</w:t>
            </w:r>
            <w:r>
              <w:rPr>
                <w:rFonts w:hint="eastAsia" w:ascii="宋体" w:hAnsi="宋体" w:eastAsia="宋体" w:cs="宋体"/>
                <w:sz w:val="24"/>
                <w:szCs w:val="24"/>
                <w:highlight w:val="none"/>
              </w:rPr>
              <w:t>采购人代表1名</w:t>
            </w:r>
            <w:r>
              <w:rPr>
                <w:rFonts w:hint="eastAsia" w:ascii="宋体" w:hAnsi="宋体" w:eastAsia="宋体" w:cs="宋体"/>
                <w:sz w:val="24"/>
                <w:szCs w:val="24"/>
              </w:rPr>
              <w:t>以及有关技术、经济等方面的专家2名，共3人组成；</w:t>
            </w:r>
          </w:p>
          <w:p>
            <w:pPr>
              <w:rPr>
                <w:rFonts w:hint="eastAsia" w:ascii="宋体" w:hAnsi="宋体" w:eastAsia="宋体" w:cs="宋体"/>
                <w:sz w:val="24"/>
                <w:szCs w:val="24"/>
              </w:rPr>
            </w:pPr>
            <w:r>
              <w:rPr>
                <w:rFonts w:hint="eastAsia" w:ascii="宋体" w:hAnsi="宋体" w:eastAsia="宋体" w:cs="宋体"/>
                <w:sz w:val="24"/>
                <w:szCs w:val="24"/>
              </w:rPr>
              <w:t>评审专家确定方式：按相关规定执行。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76" w:hRule="atLeast"/>
          <w:jc w:val="center"/>
        </w:trPr>
        <w:tc>
          <w:tcPr>
            <w:tcW w:w="82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25</w:t>
            </w:r>
          </w:p>
        </w:tc>
        <w:tc>
          <w:tcPr>
            <w:tcW w:w="19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质疑</w:t>
            </w:r>
          </w:p>
        </w:tc>
        <w:tc>
          <w:tcPr>
            <w:tcW w:w="6530" w:type="dxa"/>
            <w:vAlign w:val="center"/>
          </w:tcPr>
          <w:p>
            <w:pPr>
              <w:rPr>
                <w:rFonts w:hint="eastAsia" w:ascii="宋体" w:hAnsi="宋体" w:eastAsia="宋体" w:cs="宋体"/>
                <w:sz w:val="24"/>
                <w:szCs w:val="24"/>
              </w:rPr>
            </w:pPr>
            <w:r>
              <w:rPr>
                <w:rFonts w:hint="eastAsia" w:ascii="宋体" w:hAnsi="宋体" w:eastAsia="宋体" w:cs="宋体"/>
                <w:sz w:val="24"/>
                <w:szCs w:val="24"/>
              </w:rPr>
              <w:t>供应商认为磋商文件、磋商过程和成交、成交结果使自己的权益受到损害的，可以在知道或者应知其权益受到损害之日起七个工作日内，以书面形式向采购人、采购代理机构提出质疑。</w:t>
            </w:r>
          </w:p>
          <w:p>
            <w:pPr>
              <w:rPr>
                <w:rFonts w:hint="eastAsia" w:ascii="宋体" w:hAnsi="宋体" w:eastAsia="宋体" w:cs="宋体"/>
                <w:sz w:val="24"/>
                <w:szCs w:val="24"/>
              </w:rPr>
            </w:pPr>
            <w:r>
              <w:rPr>
                <w:rFonts w:hint="eastAsia" w:ascii="宋体" w:hAnsi="宋体" w:eastAsia="宋体" w:cs="宋体"/>
                <w:sz w:val="24"/>
                <w:szCs w:val="24"/>
              </w:rPr>
              <w:t>（一）对可以质疑的磋商文件提出质疑的，为收到磋商文件之日或者磋商文件公告期限届满之日；</w:t>
            </w:r>
          </w:p>
          <w:p>
            <w:pPr>
              <w:rPr>
                <w:rFonts w:hint="eastAsia" w:ascii="宋体" w:hAnsi="宋体" w:eastAsia="宋体" w:cs="宋体"/>
                <w:sz w:val="24"/>
                <w:szCs w:val="24"/>
              </w:rPr>
            </w:pPr>
            <w:r>
              <w:rPr>
                <w:rFonts w:hint="eastAsia" w:ascii="宋体" w:hAnsi="宋体" w:eastAsia="宋体" w:cs="宋体"/>
                <w:sz w:val="24"/>
                <w:szCs w:val="24"/>
              </w:rPr>
              <w:t>（二）对采购过程提出质疑的，为各采购程序环节结束之日；</w:t>
            </w:r>
          </w:p>
          <w:p>
            <w:pPr>
              <w:rPr>
                <w:rFonts w:hint="eastAsia" w:ascii="宋体" w:hAnsi="宋体" w:eastAsia="宋体" w:cs="宋体"/>
                <w:sz w:val="24"/>
                <w:szCs w:val="24"/>
              </w:rPr>
            </w:pPr>
            <w:r>
              <w:rPr>
                <w:rFonts w:hint="eastAsia" w:ascii="宋体" w:hAnsi="宋体" w:eastAsia="宋体" w:cs="宋体"/>
                <w:sz w:val="24"/>
                <w:szCs w:val="24"/>
              </w:rPr>
              <w:t>（三）对成交结果提出质疑的，为成交结果公告期限届满之日。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117" w:hRule="atLeast"/>
          <w:jc w:val="center"/>
        </w:trPr>
        <w:tc>
          <w:tcPr>
            <w:tcW w:w="828"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27</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投诉</w:t>
            </w:r>
          </w:p>
        </w:tc>
        <w:tc>
          <w:tcPr>
            <w:tcW w:w="6530"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质疑供应商对采购人、采购代理机构的答复不满意或者采购人、采购代理机构未在规定的时间内作出答复的，可以在答复期满后十五个工作日内向同级政府采购监督部门投诉。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8" w:hRule="atLeast"/>
          <w:jc w:val="center"/>
        </w:trPr>
        <w:tc>
          <w:tcPr>
            <w:tcW w:w="828"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28</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注意事项</w:t>
            </w:r>
          </w:p>
        </w:tc>
        <w:tc>
          <w:tcPr>
            <w:tcW w:w="6530"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1.磋商供应商如发现磋商文件及其评审办法中歧视性不公正条款或违法违规等内容时，请于答疑截止日期前同时向采购人、采购代理机构反映，逾期不得再对磋商文件的条款提出质疑。</w:t>
            </w:r>
          </w:p>
          <w:p>
            <w:pPr>
              <w:rPr>
                <w:rFonts w:hint="eastAsia" w:ascii="宋体" w:hAnsi="宋体" w:eastAsia="宋体" w:cs="宋体"/>
                <w:sz w:val="24"/>
                <w:szCs w:val="24"/>
              </w:rPr>
            </w:pPr>
            <w:r>
              <w:rPr>
                <w:rFonts w:hint="eastAsia" w:ascii="宋体" w:hAnsi="宋体" w:eastAsia="宋体" w:cs="宋体"/>
                <w:sz w:val="24"/>
                <w:szCs w:val="24"/>
              </w:rPr>
              <w:t>2．该项目成交公示期间，磋商供应商不得通过非正当途径、更不得通过非正当手段获取法律法规规定磋商小组（包括其他相关人员）应当保密的相关内容。即便由此获得资料（提供来源并经查实的例外）并作为向采购人或采购代理机构或监督管理部门提出异（质）疑或投诉或法院起诉的理由，均属于非法索取的依据。</w:t>
            </w:r>
          </w:p>
          <w:p>
            <w:pPr>
              <w:rPr>
                <w:rFonts w:hint="eastAsia" w:ascii="宋体" w:hAnsi="宋体" w:eastAsia="宋体" w:cs="宋体"/>
                <w:sz w:val="24"/>
                <w:szCs w:val="24"/>
              </w:rPr>
            </w:pPr>
            <w:r>
              <w:rPr>
                <w:rFonts w:hint="eastAsia" w:ascii="宋体" w:hAnsi="宋体" w:eastAsia="宋体" w:cs="宋体"/>
                <w:sz w:val="24"/>
                <w:szCs w:val="24"/>
              </w:rPr>
              <w:t>3．质疑、投诉人未按前列序号第26条规定进行质疑、投诉（申诉）、举报等，均属于扰乱市场不良行为，直至公示。</w:t>
            </w:r>
          </w:p>
          <w:p>
            <w:pPr>
              <w:rPr>
                <w:rFonts w:hint="eastAsia" w:ascii="宋体" w:hAnsi="宋体" w:eastAsia="宋体" w:cs="宋体"/>
                <w:sz w:val="24"/>
                <w:szCs w:val="24"/>
              </w:rPr>
            </w:pPr>
            <w:r>
              <w:rPr>
                <w:rFonts w:hint="eastAsia" w:ascii="宋体" w:hAnsi="宋体" w:eastAsia="宋体" w:cs="宋体"/>
                <w:sz w:val="24"/>
                <w:szCs w:val="24"/>
              </w:rPr>
              <w:t>4.磋商文件中凡标注“▲”的条款均为实质性要求，未响应的响应文件将作无效标处理。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39" w:hRule="atLeast"/>
          <w:jc w:val="center"/>
        </w:trPr>
        <w:tc>
          <w:tcPr>
            <w:tcW w:w="828"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其他</w:t>
            </w:r>
          </w:p>
        </w:tc>
        <w:tc>
          <w:tcPr>
            <w:tcW w:w="6530"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是否允许采购进口产品：否。</w:t>
            </w:r>
          </w:p>
          <w:p>
            <w:pPr>
              <w:rPr>
                <w:rFonts w:hint="eastAsia" w:ascii="宋体" w:hAnsi="宋体" w:eastAsia="宋体" w:cs="宋体"/>
                <w:sz w:val="24"/>
                <w:szCs w:val="24"/>
              </w:rPr>
            </w:pPr>
            <w:r>
              <w:rPr>
                <w:rFonts w:hint="eastAsia" w:ascii="宋体" w:hAnsi="宋体" w:eastAsia="宋体" w:cs="宋体"/>
                <w:sz w:val="24"/>
                <w:szCs w:val="24"/>
              </w:rPr>
              <w:t>本项目不适用节能产品条款。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9" w:hRule="atLeast"/>
          <w:jc w:val="center"/>
        </w:trPr>
        <w:tc>
          <w:tcPr>
            <w:tcW w:w="828" w:type="dxa"/>
            <w:tcBorders>
              <w:top w:val="single" w:color="auto" w:sz="4" w:space="0"/>
              <w:left w:val="single" w:color="auto" w:sz="12" w:space="0"/>
              <w:bottom w:val="single" w:color="auto" w:sz="12"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1920" w:type="dxa"/>
            <w:tcBorders>
              <w:top w:val="single" w:color="auto" w:sz="4" w:space="0"/>
              <w:left w:val="single" w:color="auto" w:sz="4" w:space="0"/>
              <w:bottom w:val="single" w:color="auto" w:sz="12"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解释权</w:t>
            </w:r>
          </w:p>
        </w:tc>
        <w:tc>
          <w:tcPr>
            <w:tcW w:w="6530" w:type="dxa"/>
            <w:tcBorders>
              <w:top w:val="single" w:color="auto" w:sz="4" w:space="0"/>
              <w:left w:val="single" w:color="auto" w:sz="4" w:space="0"/>
              <w:bottom w:val="single" w:color="auto" w:sz="12" w:space="0"/>
              <w:right w:val="single" w:color="auto" w:sz="12"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构成本竞争性磋商文件的各个组成文件应互为解释，互为说明；如有不明确或不一致，构成合同文件组成内容的，以合同文件约定内容为准；仅适用于竞争性磋商阶段的约定，按采购公告、竞争性磋商供应商须知、评定办法、竞争性磋商响应文件格式的先后顺序解释；同一文件中就同一事项的约定不一致的，以逻辑顺序在后者为准；同一文件不同版本之间有不一致的，以形成时间在后者为准。按本款前述约定仍不能形成结论的，由采购组织单位负责解释。</w:t>
            </w:r>
          </w:p>
        </w:tc>
      </w:tr>
    </w:tbl>
    <w:p>
      <w:pPr>
        <w:pStyle w:val="4"/>
        <w:pageBreakBefore w:val="0"/>
        <w:widowControl/>
        <w:kinsoku/>
        <w:wordWrap/>
        <w:overflowPunct/>
        <w:topLinePunct w:val="0"/>
        <w:autoSpaceDE/>
        <w:autoSpaceDN/>
        <w:bidi w:val="0"/>
        <w:adjustRightInd/>
        <w:snapToGrid/>
        <w:spacing w:beforeLines="50" w:afterLines="50" w:line="360" w:lineRule="auto"/>
        <w:jc w:val="center"/>
        <w:textAlignment w:val="auto"/>
        <w:rPr>
          <w:rFonts w:hint="eastAsia" w:ascii="Arial" w:hAnsi="Arial" w:cs="Arial"/>
          <w:bCs w:val="0"/>
          <w:sz w:val="24"/>
          <w:szCs w:val="24"/>
        </w:rPr>
      </w:pPr>
      <w:bookmarkStart w:id="3" w:name="_Toc14803"/>
      <w:r>
        <w:rPr>
          <w:rFonts w:hint="eastAsia" w:ascii="Arial" w:hAnsi="Arial" w:cs="Arial"/>
          <w:bCs w:val="0"/>
          <w:sz w:val="24"/>
          <w:szCs w:val="24"/>
        </w:rPr>
        <w:t>（二）总则</w:t>
      </w:r>
      <w:bookmarkEnd w:id="3"/>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1.1本次竞争性磋商工作是按照《中华人民共和国政府采购法》、浙江省及项目所在地的有关政府采购规定，结合本项目的实际，组织和实施。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1.2资金来源：已落实。</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2.定义及解释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2.1采购人：</w:t>
      </w:r>
      <w:r>
        <w:rPr>
          <w:rFonts w:hint="eastAsia"/>
          <w:sz w:val="24"/>
          <w:szCs w:val="24"/>
          <w:lang w:eastAsia="zh-CN"/>
        </w:rPr>
        <w:t>浙江省海盐经济开发区管理委员会</w:t>
      </w:r>
      <w:r>
        <w:rPr>
          <w:rFonts w:hint="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2.2采购代理机构：嘉兴鼎晟工程管理有限公司；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2.3竞争性磋商供应商：竞争性磋商供应商是响应采购、参加竞争性磋商竞争的依法成立的的供应商；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2.4成交供应商：系指在本次竞争性磋商中成交的竞争性磋商供应商；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2.5竞争性磋商小组：竞争性磋商小组是依《政府采购法》组建的专门负责采购评审工作的临时性机构；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2.6日期：指公历日；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2.7合同：指由采购所产生的合同或合约文件；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2.8“书面形式”是指任何手写的、打印的或印刷的文件，包括电报和传真发送。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3.合格的竞争性磋商供应商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3.2落实政府采购政策需满足的资格要求：</w:t>
      </w:r>
      <w:r>
        <w:rPr>
          <w:rFonts w:hint="eastAsia"/>
          <w:sz w:val="24"/>
          <w:szCs w:val="24"/>
          <w:u w:val="single"/>
        </w:rPr>
        <w:t>供应商为中小企业/小微企业</w:t>
      </w:r>
      <w:r>
        <w:rPr>
          <w:rFonts w:hint="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3.3本项目的特定资格要求：</w:t>
      </w:r>
      <w:r>
        <w:rPr>
          <w:rFonts w:hint="eastAsia"/>
          <w:sz w:val="24"/>
          <w:szCs w:val="24"/>
          <w:u w:val="single"/>
        </w:rPr>
        <w:t>/</w:t>
      </w:r>
      <w:r>
        <w:rPr>
          <w:rFonts w:hint="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4.保密与披露事项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4.1竞争性磋商供应商不得串通，以不正当的手段妨碍排挤其他竞争性磋商供应商，扰乱市场，破坏公平竞争原则。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4.2竞争性磋商供应商自获取竞争性磋商文件之日起，须承诺承担本竞争性磋商项目下保密义务，不得将因本次竞争性磋商获得的信息向第三方外传。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4.3采购代理机构有权将竞争性磋商供应商提供的所有资料向其他政府部门或有关的非政府机构负责评审标书的人员或与评审有关的人员披露。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4.4采购代理机构有权在认为适当时，或在任何第三者提出要求（书面或其他方式）时，无须事先征求成交供应商同意而披露关于已订立合约的资料、成交供应商的名称及地址、成交服务的有关信息以及合约条款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5.竞争性磋商费用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5.1竞争性磋商供应商应承担所有与编写和提交竞争性磋商响应文件有关的费用，不论竞争性磋商的结果如何，采购代理机构和采购人在任何情况下均无义务和责任承担这些费用。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6.现场踏勘：/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7.竞争性磋商委托</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如竞争性磋商供应商代表不是法定代表人，须持有《法定代表人授权委托书》。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pStyle w:val="4"/>
        <w:pageBreakBefore w:val="0"/>
        <w:widowControl/>
        <w:kinsoku/>
        <w:wordWrap/>
        <w:overflowPunct/>
        <w:topLinePunct w:val="0"/>
        <w:autoSpaceDE/>
        <w:autoSpaceDN/>
        <w:bidi w:val="0"/>
        <w:adjustRightInd/>
        <w:snapToGrid/>
        <w:spacing w:beforeLines="50" w:afterLines="50" w:line="360" w:lineRule="auto"/>
        <w:jc w:val="center"/>
        <w:textAlignment w:val="auto"/>
        <w:rPr>
          <w:rFonts w:hint="eastAsia" w:ascii="Arial" w:hAnsi="Arial" w:cs="Arial"/>
          <w:bCs w:val="0"/>
          <w:sz w:val="24"/>
          <w:szCs w:val="24"/>
        </w:rPr>
      </w:pPr>
      <w:bookmarkStart w:id="4" w:name="_Toc11201"/>
      <w:r>
        <w:rPr>
          <w:rFonts w:hint="eastAsia" w:ascii="Arial" w:hAnsi="Arial" w:cs="Arial"/>
          <w:bCs w:val="0"/>
          <w:sz w:val="24"/>
          <w:szCs w:val="24"/>
        </w:rPr>
        <w:t>（三）竞争性磋商文件说明</w:t>
      </w:r>
      <w:bookmarkEnd w:id="4"/>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8.竞争性磋商文件构成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8.1竞争性磋商文件是用以阐明所需货物、服务，以及竞争性磋商、竞争性磋商程序和相应的合同条款。“竞争性磋商文件”由下述部分组成：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第一部分采购公告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第二部分竞争性磋商供应商须知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第三部分竞争性磋商内容及技术要求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第四部分合同条款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第五部分评定办法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第六部分参考格式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8.2本竞争性磋商文件要求竞争性磋商供应商作出实质性响应的有关技术和商务条款，将在该条款前以“▲” 醒目标识。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9.竞争性磋商文件的澄清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9.1任何要求对竞争性磋商文件进行澄清的竞争性磋商供应商，均应在答疑截止期规定时间以前以书面形式传真或寄送给采购代理机构，采购代理机构对答疑截止期规定时间以前收到的任何澄清要求将以书面形式予以答复，同时将书面答复以邮寄、传真或类似的方式送达所有竞争性磋商供应商，答复中包括原提出的问题，但不包括问题的来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pStyle w:val="4"/>
        <w:pageBreakBefore w:val="0"/>
        <w:widowControl/>
        <w:kinsoku/>
        <w:wordWrap/>
        <w:overflowPunct/>
        <w:topLinePunct w:val="0"/>
        <w:autoSpaceDE/>
        <w:autoSpaceDN/>
        <w:bidi w:val="0"/>
        <w:adjustRightInd/>
        <w:snapToGrid/>
        <w:spacing w:beforeLines="50" w:afterLines="50" w:line="360" w:lineRule="auto"/>
        <w:jc w:val="center"/>
        <w:textAlignment w:val="auto"/>
        <w:rPr>
          <w:rFonts w:hint="eastAsia" w:ascii="Arial" w:hAnsi="Arial" w:cs="Arial"/>
          <w:bCs w:val="0"/>
          <w:sz w:val="24"/>
          <w:szCs w:val="24"/>
        </w:rPr>
      </w:pPr>
      <w:bookmarkStart w:id="5" w:name="_Toc17929"/>
      <w:r>
        <w:rPr>
          <w:rFonts w:hint="eastAsia" w:ascii="Arial" w:hAnsi="Arial" w:cs="Arial"/>
          <w:bCs w:val="0"/>
          <w:sz w:val="24"/>
          <w:szCs w:val="24"/>
        </w:rPr>
        <w:t>（四）竞争性磋商响应文件的编制</w:t>
      </w:r>
      <w:bookmarkEnd w:id="5"/>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10.竞争性磋商响应文件的说明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10.1竞争性磋商响应文件应字迹清楚、内容齐全、不得涂改。如有修改，修改处须有法定代表人或其同一授权代表签章。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10.2投标人必须按竞争性磋商文件的要求提供相关技术参数、资料，包括采用的计量单位，并保证竞争性磋商响应文件的正确性和真实性，否则竞争性磋商小组将作出不利于其投标的评定。技术和商务如有偏离均应填写偏离表。不按竞争性磋商文件的要求提供的竞争性磋商响应文件可能导致无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11.竞争性磋商响应文件的组成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11.1竞争性磋商供应商编写的竞争性磋商响应文件应包括资格文件、资信商务及技术文件和投标报价文件组成：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11.1.</w:t>
      </w:r>
      <w:r>
        <w:rPr>
          <w:rFonts w:hint="eastAsia"/>
          <w:sz w:val="24"/>
          <w:szCs w:val="24"/>
        </w:rPr>
        <w:t>1.资格文件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（2）落实政府采购政策需满足的资格要求：中小企业/小微企业 。</w:t>
      </w:r>
      <w:r>
        <w:rPr>
          <w:rFonts w:hint="eastAsia"/>
          <w:sz w:val="24"/>
          <w:szCs w:val="24"/>
          <w:lang w:eastAsia="zh-CN"/>
        </w:rPr>
        <w:t>附：</w:t>
      </w:r>
      <w:r>
        <w:rPr>
          <w:rFonts w:hint="eastAsia"/>
          <w:sz w:val="24"/>
          <w:szCs w:val="24"/>
        </w:rPr>
        <w:t xml:space="preserve">中小企业声明函、残疾人福利性单位声明函及其他符合政策性加分条件的承诺函或证明材料。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（3）本项目的特定资格要求：</w:t>
      </w:r>
      <w:r>
        <w:rPr>
          <w:rFonts w:hint="eastAsia"/>
          <w:sz w:val="24"/>
          <w:szCs w:val="24"/>
          <w:u w:val="single"/>
        </w:rPr>
        <w:t>/</w:t>
      </w:r>
      <w:r>
        <w:rPr>
          <w:rFonts w:hint="eastAsia"/>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11.1.</w:t>
      </w:r>
      <w:r>
        <w:rPr>
          <w:rFonts w:hint="eastAsia"/>
          <w:sz w:val="24"/>
          <w:szCs w:val="24"/>
        </w:rPr>
        <w:t>2.资信商务及技术文件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11.1.2.1</w:t>
      </w:r>
      <w:r>
        <w:rPr>
          <w:rFonts w:hint="eastAsia"/>
          <w:sz w:val="24"/>
          <w:szCs w:val="24"/>
        </w:rPr>
        <w:t>资信商务部分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（1）投标声明书；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（2）法定代表人授权委托书；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（3）营业执照副本复印件;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（4）类似案例成功的业绩（投标人同类项目实施情况一览表、业绩证明）；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（5）投标人情况介绍；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（6）商务响应表；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（7）未尽事宜请各供应商按评分细则制作资信商务部分。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11.1.2.</w:t>
      </w:r>
      <w:r>
        <w:rPr>
          <w:rFonts w:hint="eastAsia"/>
          <w:sz w:val="24"/>
          <w:szCs w:val="24"/>
        </w:rPr>
        <w:t>2.技术文件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（1）对本项目总体要求的理解；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（2）针对本项目的服务方案；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（3）保证本项目有效实施的人员配置；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（4）投标人需要说明的其他文件和说明（格式自拟）；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（5）未尽事宜请各投标人按评分细则制作技术部分。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11.1.3.</w:t>
      </w:r>
      <w:r>
        <w:rPr>
          <w:rFonts w:hint="eastAsia"/>
          <w:sz w:val="24"/>
          <w:szCs w:val="24"/>
        </w:rPr>
        <w:t>报价文件：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（1）投标函（格式见附件）；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（2）投标报价明细表（格式自拟）；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（3）投标人针对报价需要说明的其他文件和说明（格式自拟）；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w:t>
      </w:r>
      <w:r>
        <w:rPr>
          <w:rFonts w:hint="eastAsia"/>
          <w:sz w:val="24"/>
          <w:szCs w:val="24"/>
          <w:lang w:val="en-US" w:eastAsia="zh-CN"/>
        </w:rPr>
        <w:t>4</w:t>
      </w:r>
      <w:r>
        <w:rPr>
          <w:rFonts w:hint="eastAsia"/>
          <w:sz w:val="24"/>
          <w:szCs w:val="24"/>
        </w:rPr>
        <w:t>）开标一览表（格式见附件）。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▲注：法定代表人授权委托书、投标声明书、投标函、开标一览表必须由法定代表人（或者被授权代表）签名且加盖单位公章。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12.竞争性磋商响应格式填写说明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12.1竞争性磋商供应商应在认真阅读竞争性磋商文件所有内容的基础上，按照竞争性磋商文件的要求编制完整的竞争性磋商响应文件。竞争性磋商响应文件应按照竞争性磋商文件中规定的统一格式填写，严格按照规定的顺序编制目录，混乱的编排导致竞争性磋商响应文件被误读或采购代理机构查找不到有效文件是竞争性磋商供应商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12.2竞争性磋商供应商必须保证竞争性磋商响应文件所提供的全部资料真实可靠，并接受采购代理机构对其中任何资料进一步审查的要求。提供虚假证明的竞争性磋商供应商将被取消政府采购供应商资格，并在政府采购宣传媒体上予以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13.竞争性磋商有效期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13.1▲提交竞争性磋商响应文件截止日起60天，竞争性磋商响应文件应保持有效。竞争性磋商有效期比规定期限短的将被视为非响应竞争性磋商而予以否决。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13.2特殊情况下，采购代理机构可于竞争性磋商有效期满之前要求竞争性磋商供应商同意延长有效期，要求与答复均应为书面形式。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14.竞争性磋商报价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14.1竞争性磋商供应商提供的货物和服务价格应该用人民币表示。竞争性磋商报价应包括完成供货和服务所需的一切费用。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14.2根据本次竞争性磋商采购工作要求，最后只允许有一个竞争性磋商报价，竞争性磋商供应商应在各自技术和商务占优势的基础上并充分考虑本项目的重要性，在竞争性磋商结束后提供给采购代理机构及采购人最优惠的竞争性磋商价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14.3最后的竞争性磋商报价需低于首次报价。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15.竞争性磋商响应文件的式样和签署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15.1竞争性磋商响应文件的内容是属于供应商自己制作的均须用不褪色墨水书写或打印，并在“竞争性磋商文件格式”规定处由供应商的法定代表人或其授权代表印章（或签字或电子章）。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15.2竞争性磋商响应文件不得涂改和增删，如有修改错漏处，必须由同一签署人签字或盖章。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15.3供应商或采购组织单位有下列情形之一的，应按串通行为认定：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（1）不同供应商的竞争性磋商响应文件由同一单位或人员编制的；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（2）不同供应商委托同一单位或人员办理投标事宜的；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（3）不同供应商的竞争性磋商响应文件中的内容出现非正常的一致，或者报价细目呈明显规律性变化，或在完全可比的情况下投标总价均高于市场平均价的；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（4）不同供应商的竞争性磋商响应文件载明的项目管理或实施人员出现同一单位的工作人员或同一人的；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（5）不同供应商的授权代表为同一单位的工作人员的；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（6）不同供应商的竞争性磋商响应文件相互混装，或在一个供应商的竞争性磋商响应文件内遗留有其他供应商的签名、盖章等不属于本供应商参加政府采购必需的信息资料的；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（7）采购响应截止时间后，采购组织单位协助供应商撤换或更改竞争性磋商响应文件的；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（8）采购组织单位泄露有意向参加政府采购的供应商名称、数量等应当保密的事项的；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（9）不同供应商之间私下达成书面或口头协议，指定一家供应商成交或轮流成交的；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（10）法律、法规或规章规定的其他串通行为。</w:t>
      </w:r>
    </w:p>
    <w:p>
      <w:pPr>
        <w:pStyle w:val="4"/>
        <w:pageBreakBefore w:val="0"/>
        <w:widowControl/>
        <w:kinsoku/>
        <w:wordWrap/>
        <w:overflowPunct/>
        <w:topLinePunct w:val="0"/>
        <w:autoSpaceDE/>
        <w:autoSpaceDN/>
        <w:bidi w:val="0"/>
        <w:adjustRightInd/>
        <w:snapToGrid/>
        <w:spacing w:beforeLines="50" w:afterLines="50" w:line="360" w:lineRule="auto"/>
        <w:jc w:val="center"/>
        <w:textAlignment w:val="auto"/>
        <w:rPr>
          <w:rFonts w:hint="eastAsia" w:ascii="Arial" w:hAnsi="Arial" w:cs="Arial"/>
          <w:bCs w:val="0"/>
          <w:sz w:val="24"/>
          <w:szCs w:val="24"/>
        </w:rPr>
      </w:pPr>
      <w:bookmarkStart w:id="6" w:name="_Toc31082"/>
      <w:r>
        <w:rPr>
          <w:rFonts w:hint="eastAsia" w:ascii="Arial" w:hAnsi="Arial" w:cs="Arial"/>
          <w:bCs w:val="0"/>
          <w:sz w:val="24"/>
          <w:szCs w:val="24"/>
        </w:rPr>
        <w:t>（五）竞争性磋商响应文件的递交</w:t>
      </w:r>
      <w:bookmarkEnd w:id="6"/>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16.竞争性磋商响应文件的密封和标记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16.1竞争性磋商响应文件封面上写明竞争性磋商项目名称、编号、供应商名称、地址、邮政编码、电话、联系人。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17.竞争性磋商截止时间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17.1本次采购的竞争性磋商开始时间及竞争性磋商响应文件递交截止时间：见本竞争性磋商文件“采购公告”。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17.2在推迟了竞争性磋商开始时间的情况下，采购代理机构、采购人和竞争性磋商供应商受制约的所有权利和义务均应延长至新的截止时间。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18.竞争性磋商响应文件有下列情形之一的，采购代理机构不予受理：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18.1竞争性磋商响应文件逾期上传系统的；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18.2竞争性磋商响应文件未按竞争性磋商文件要求签署、盖章的。</w:t>
      </w:r>
    </w:p>
    <w:p>
      <w:pPr>
        <w:pStyle w:val="4"/>
        <w:pageBreakBefore w:val="0"/>
        <w:widowControl/>
        <w:kinsoku/>
        <w:wordWrap/>
        <w:overflowPunct/>
        <w:topLinePunct w:val="0"/>
        <w:autoSpaceDE/>
        <w:autoSpaceDN/>
        <w:bidi w:val="0"/>
        <w:adjustRightInd/>
        <w:snapToGrid/>
        <w:spacing w:beforeLines="50" w:afterLines="50" w:line="360" w:lineRule="auto"/>
        <w:jc w:val="center"/>
        <w:textAlignment w:val="auto"/>
        <w:rPr>
          <w:rFonts w:hint="eastAsia" w:ascii="Arial" w:hAnsi="Arial" w:cs="Arial"/>
          <w:bCs w:val="0"/>
          <w:sz w:val="24"/>
          <w:szCs w:val="24"/>
        </w:rPr>
      </w:pPr>
      <w:bookmarkStart w:id="7" w:name="_Toc8521"/>
      <w:r>
        <w:rPr>
          <w:rFonts w:hint="eastAsia" w:ascii="Arial" w:hAnsi="Arial" w:cs="Arial"/>
          <w:bCs w:val="0"/>
          <w:sz w:val="24"/>
          <w:szCs w:val="24"/>
        </w:rPr>
        <w:t>（六）竞争性磋商与评审</w:t>
      </w:r>
      <w:bookmarkEnd w:id="7"/>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19.竞争性磋商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19.1竞争性磋商时间和地点：见本竞争性磋商文件“采购公告”。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19.2采购代理机构组织和主持竞争性磋商会议，业主代表及纪检监督人员参加竞争性磋商会议并签名报到以证明其出席。</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20.竞争性磋商小组的组建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20.1本次采购依法组建竞争性磋商小组。竞争性磋商小组由采购人的代表1名和2名有关专家共3人组成。</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21.竞争性磋商工作程序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21.1竞争性磋商响应文件在规定时间递交后，竞争性磋商小组根据竞争性磋商文件首先审查竞争性磋商响应文件提供的资格证明文件是否齐全、是否满足竞争性磋商文件的报价资格要求等；其次审查竞争性磋商响应文件提交的内容是否完整，是否按竞争性磋商文件的要求作出了相应的响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21.2竞争性磋商。竞争性磋商小组所有成员集中与各竞争性磋商供应商分别进行竞争性磋商。在竞争性磋商中，竞争性磋商的任何一方不得透露与竞争性磋商有关的其他竞争性磋商供应商的技术资料、价格和其他信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21.3竞争性磋商文件有实质性变动的（包括竞争性磋商内容及合同主要条款、评定成交标准），竞争性磋商小组应当在竞争性磋商供应商下轮报价前通知所有参加竞争性磋商的竞争性磋商供应商。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21.4本次竞争性磋商允许两次报价，竞争性磋商响应文件为首次报价。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eastAsia="zh-CN"/>
        </w:rPr>
      </w:pPr>
      <w:r>
        <w:rPr>
          <w:rFonts w:hint="eastAsia"/>
          <w:sz w:val="24"/>
          <w:szCs w:val="24"/>
        </w:rPr>
        <w:t>21.5竞争性磋商结束后，竞争性磋商小组应当要求合格通过的竞争性磋商供应商在规定时间（30分钟）内根据商谈内容进行第二次报价（即最后报价），竞争性磋商供应商的报价原则上不得高于上轮的报价（竞争性磋商内容变更的除外），可与上轮报价相同；未报价者，视同与上轮报价相同。竞争性磋商供应商的</w:t>
      </w:r>
      <w:r>
        <w:rPr>
          <w:rFonts w:hint="eastAsia"/>
          <w:sz w:val="24"/>
          <w:szCs w:val="24"/>
          <w:lang w:eastAsia="zh-CN"/>
        </w:rPr>
        <w:t>第二次报价后，</w:t>
      </w:r>
      <w:r>
        <w:rPr>
          <w:rFonts w:hint="eastAsia"/>
          <w:sz w:val="24"/>
          <w:szCs w:val="24"/>
        </w:rPr>
        <w:t>报价明细表中各项报价均按同比例下调</w:t>
      </w:r>
      <w:r>
        <w:rPr>
          <w:rFonts w:hint="eastAsia"/>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21.6如竞争性磋商小组一致认为某个竞争性磋商供应商的报价明显不合理，有降低服务质量、不能诚信履行及不正当竞争的可能时，竞争性磋商小组有权通知竞争性磋商供应商限期进行解释。若该竞争性磋商供应商未在规定期限内做出解释，或做出的解释不合理并否决改变，经竞争性磋商小组取得一致意见后，可确定拒绝该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21.7如果候选成交供应商的报价高于政府采购预算金额或明显偏离市场正常价格时，竞争性磋商小组将取消其成交资格，对受影响的竞争性磋商供应商不承担任何责任，也无义务向受影响的竞争性磋商供应商解释采取这一行动的理由</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22.评审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22.1在竞争性磋商时下列情况按照无效报价处理：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22.1.1</w:t>
      </w:r>
      <w:r>
        <w:rPr>
          <w:rFonts w:hint="eastAsia"/>
          <w:sz w:val="24"/>
          <w:szCs w:val="24"/>
        </w:rPr>
        <w:t>在符合性审查和商务评审时，如发现下列情形之一的，投标文件将被视为无效：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资信商务及技术文件中出现报价的；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资格证明文件不全的，或者不符合招标文件标明的资格要求的；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投标文件无法定代表人签字（或盖章）,或未提供法定代表人授权委托书、投标声明书或者填写项目不齐全的；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 xml:space="preserve">投标代表人未能出具身份证明或与法定代表人授权委托人身份不符的；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投标文件格式不规范、项目不齐全或者内容虚假的；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投标文件的实质性内容未使用中文表述、意思表述不明确、前后矛盾或者使用计量单位不符合招标文件要求的（经评标委员会认定并允许其当场更正的笔误除外）；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7</w:t>
      </w:r>
      <w:r>
        <w:rPr>
          <w:rFonts w:hint="eastAsia"/>
          <w:sz w:val="24"/>
          <w:szCs w:val="24"/>
          <w:lang w:eastAsia="zh-CN"/>
        </w:rPr>
        <w:t>）</w:t>
      </w:r>
      <w:r>
        <w:rPr>
          <w:rFonts w:hint="eastAsia"/>
          <w:sz w:val="24"/>
          <w:szCs w:val="24"/>
        </w:rPr>
        <w:t>投标有效期、交货时间、质保期等商务条款不能满足招标文件要求的；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8</w:t>
      </w:r>
      <w:r>
        <w:rPr>
          <w:rFonts w:hint="eastAsia"/>
          <w:sz w:val="24"/>
          <w:szCs w:val="24"/>
          <w:lang w:eastAsia="zh-CN"/>
        </w:rPr>
        <w:t>）</w:t>
      </w:r>
      <w:r>
        <w:rPr>
          <w:rFonts w:hint="eastAsia"/>
          <w:sz w:val="24"/>
          <w:szCs w:val="24"/>
        </w:rPr>
        <w:t>未实质性响应招标文件要求或者投标文件有招标方不能接受的附加条件的；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22.1.2</w:t>
      </w:r>
      <w:r>
        <w:rPr>
          <w:rFonts w:hint="eastAsia"/>
          <w:sz w:val="24"/>
          <w:szCs w:val="24"/>
        </w:rPr>
        <w:t>在技术评审时，如发现下列情形之一的，投标文件将被视为无效：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未提供或未如实提供投标</w:t>
      </w:r>
      <w:r>
        <w:rPr>
          <w:rFonts w:hint="eastAsia"/>
          <w:sz w:val="24"/>
          <w:szCs w:val="24"/>
          <w:lang w:eastAsia="zh-CN"/>
        </w:rPr>
        <w:t>服务要求</w:t>
      </w:r>
      <w:r>
        <w:rPr>
          <w:rFonts w:hint="eastAsia"/>
          <w:sz w:val="24"/>
          <w:szCs w:val="24"/>
        </w:rPr>
        <w:t>，或者投标文件标明的响应或偏离与事实不符或虚假投标的；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明显不符合招标文件要求的，或者与招标文件中标“▲”的技术指标、主要功能项目发生实质性偏离的；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投标技术方案不明确，存在一个或一个以上备选（替代）投标方案的；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与其他参加本次投标供应商的投标文件（技术文件）的文字表述内容相同连续20行以上或者差错相同2处以上的；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22.1.3</w:t>
      </w:r>
      <w:r>
        <w:rPr>
          <w:rFonts w:hint="eastAsia"/>
          <w:sz w:val="24"/>
          <w:szCs w:val="24"/>
        </w:rPr>
        <w:t>在报价评审时，如发现下列情形之一的，投标文件将被视为无效：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未采用人民币报价或者未按照招标文件标明的币种报价的；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报价超出最高限价，或者超出采购预算金额(自主创新产品除外)，采购人不能支付的；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投标报价具有选择性，或者开标价格与投标文件承诺的优惠（折扣）价格不一致的；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投标报价明细表总额与开标一览表总价不一致，且高于总价5％的；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22.2竞争性磋商小组将根据各竞争性磋商供应商的最后报价和承诺，按评定办法计算综合得分，按综合得分由高到低排序，排序第一的为预选成交供应商，其余有效供应商按综合得分由高到低排序。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23.成交供应商的确定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23.1采购代理机构按竞争性磋商小组的评审结果，确定预选成交供应商为成交供应商，当预选成交供应商因故不能成交时，可以确定综合得分排名第二的备选成交供应商为成交供应商，当其因故不能成交时，可以确定综合得分排名第三的备选成交供应商为成交供应商，以此类推。报价超过采购预算资金的除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23.2采购代理机构将在 “浙江政府采购网”（网址：www.zjzfcg.gov.cn）上发布《成交结果公告》。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24.评审过程保密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24.1竞争性磋商之后，直到授予竞争性磋商供应商合同止，凡是属于审查、澄清、评价和比较竞争性磋商的有关资料以及授标意向等，均不得向竞争性磋商供应商或其他无关的人员透露。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25.否决任何或所有竞争性磋商的权利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25.1竞争性磋商小组经评审，认为所有竞争性磋商都不符合竞争性磋商文件要求的，可以否决所有竞争性磋商。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25.2如果成交预选供应商不能按照竞争性磋商文件要求及其竞争性磋商响应文件的承诺签订合同或其竞争性磋商响应文件与事实不符，影响采购的公平公开及合同的实施，采购人有权在授予合同前任何时候依照法定程序将合同授予成交备选供应商。如果成交备选供应商仍无法签订合同，采购人将依法不接受或否决任何竞争性磋商，并宣布采购无效，对受影响的竞争性磋商供应商不承担任何责任，也无义务向受影响的竞争性磋商供应商解释采取这一行动的理由。</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26.质疑与投诉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26.1本项目公告期限为3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26.2本项目采购结果公告期限为1个工作日，各参加政府采购活动的供应商认为该中标/成交结果和采购过程等使自己的权益受到损害的，可以自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26.3质疑、投诉应当采用书面形式，质疑书、投诉书均应明确阐述竞争性磋商文件、竞争性磋商过程和成交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（1）质疑受理机构：嘉兴鼎晟工程管理有限公司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eastAsia="zh-CN"/>
        </w:rPr>
      </w:pPr>
      <w:r>
        <w:rPr>
          <w:rFonts w:hint="eastAsia"/>
          <w:sz w:val="24"/>
          <w:szCs w:val="24"/>
        </w:rPr>
        <w:t>受理电话：</w:t>
      </w:r>
      <w:r>
        <w:rPr>
          <w:rFonts w:hint="eastAsia"/>
          <w:sz w:val="24"/>
          <w:szCs w:val="24"/>
          <w:lang w:eastAsia="zh-CN"/>
        </w:rPr>
        <w:t>0573-86116950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（2）投诉受理机构：海盐县财政局政府采购监管科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投诉电话：0573-86122512</w:t>
      </w:r>
    </w:p>
    <w:p>
      <w:pPr>
        <w:pStyle w:val="4"/>
        <w:pageBreakBefore w:val="0"/>
        <w:widowControl/>
        <w:kinsoku/>
        <w:wordWrap/>
        <w:overflowPunct/>
        <w:topLinePunct w:val="0"/>
        <w:autoSpaceDE/>
        <w:autoSpaceDN/>
        <w:bidi w:val="0"/>
        <w:adjustRightInd/>
        <w:snapToGrid/>
        <w:spacing w:beforeLines="50" w:afterLines="50" w:line="360" w:lineRule="auto"/>
        <w:jc w:val="center"/>
        <w:textAlignment w:val="auto"/>
        <w:rPr>
          <w:rFonts w:hint="eastAsia" w:ascii="Arial" w:hAnsi="Arial" w:cs="Arial"/>
          <w:bCs w:val="0"/>
          <w:sz w:val="24"/>
          <w:szCs w:val="24"/>
        </w:rPr>
      </w:pPr>
      <w:bookmarkStart w:id="8" w:name="_Toc18842"/>
      <w:r>
        <w:rPr>
          <w:rFonts w:hint="eastAsia" w:ascii="Arial" w:hAnsi="Arial" w:cs="Arial"/>
          <w:bCs w:val="0"/>
          <w:sz w:val="24"/>
          <w:szCs w:val="24"/>
        </w:rPr>
        <w:t>（七）授予合同</w:t>
      </w:r>
      <w:bookmarkEnd w:id="8"/>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27.合同授予标准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27.1最终审查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竞争性磋商结束后，采购代理机构将对竞争性磋商供应商进行最终审查。最终审查的主要内容是：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1）竞争性磋商供应商的资质、业务能力、信誉及以往政府采购活动中的业绩和表现；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2）竞争性磋商供应商履行合同的能力。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27.2最终审查工作如需成交供应商配合，成交供应商必须接受。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27.3成交供应商如未能通过最终审查，采购代理机构将视具体情况，提出具体限时整改要求，成交供应商如未能达到整改要求，其成交资格将被取消。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27.4采购代理机构将合同授予获接受竞争性磋商的竞争性磋商供应商。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28.成交通知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28.1在竞争性磋商有效期期满之前，采购代理机构将用书面形式向获接受的成交供应商发出书面的《成交通知书》。《成交通知书》将是合同的一个组成部分。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29.签订合同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29.1成交供应商按《成交通知书》指定的时间、地点与采购人直接签订合同。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29.2竞争性磋商文件、成交供应商的竞争性磋商响应文件及其澄清文件等，均为签订经济合同的依据。成交供应商自接到成交通知书后30天内与采购人签订合同。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29.3成交供应商不遵守竞争性磋商文件的要约、承诺，擅自修改报价或在接到成交通知书30天内，借故拖延、拒签合同者，采购代理机构即可取消该单位的成交权，另选其它竞争性磋商供应商成交。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30.采购结果通知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采购代理机构在发出《成交通知书》的同时在 “浙江省政府采购网”（网址：www.zjzfcg.gov.cn）发布成交公告。</w:t>
      </w:r>
    </w:p>
    <w:p>
      <w:pPr>
        <w:pStyle w:val="4"/>
        <w:pageBreakBefore w:val="0"/>
        <w:widowControl/>
        <w:kinsoku/>
        <w:wordWrap/>
        <w:overflowPunct/>
        <w:topLinePunct w:val="0"/>
        <w:autoSpaceDE/>
        <w:autoSpaceDN/>
        <w:bidi w:val="0"/>
        <w:adjustRightInd/>
        <w:snapToGrid/>
        <w:spacing w:beforeLines="50" w:afterLines="50" w:line="360" w:lineRule="auto"/>
        <w:jc w:val="center"/>
        <w:textAlignment w:val="auto"/>
        <w:rPr>
          <w:rFonts w:hint="eastAsia" w:eastAsia="宋体"/>
          <w:b/>
          <w:bCs/>
          <w:sz w:val="24"/>
          <w:szCs w:val="24"/>
          <w:lang w:eastAsia="zh-CN"/>
        </w:rPr>
      </w:pPr>
      <w:r>
        <w:rPr>
          <w:rFonts w:hint="eastAsia" w:ascii="Arial" w:hAnsi="Arial" w:cs="Arial"/>
          <w:bCs w:val="0"/>
          <w:sz w:val="24"/>
          <w:szCs w:val="24"/>
        </w:rPr>
        <w:t>（</w:t>
      </w:r>
      <w:r>
        <w:rPr>
          <w:rFonts w:hint="eastAsia" w:ascii="Arial" w:hAnsi="Arial" w:cs="Arial"/>
          <w:bCs w:val="0"/>
          <w:sz w:val="24"/>
          <w:szCs w:val="24"/>
          <w:lang w:eastAsia="zh-CN"/>
        </w:rPr>
        <w:t>八</w:t>
      </w:r>
      <w:r>
        <w:rPr>
          <w:rFonts w:hint="eastAsia" w:ascii="Arial" w:hAnsi="Arial" w:cs="Arial"/>
          <w:bCs w:val="0"/>
          <w:sz w:val="24"/>
          <w:szCs w:val="24"/>
        </w:rPr>
        <w:t>）</w:t>
      </w:r>
      <w:r>
        <w:rPr>
          <w:rFonts w:hint="eastAsia" w:ascii="Arial" w:hAnsi="Arial" w:cs="Arial"/>
          <w:bCs w:val="0"/>
          <w:sz w:val="24"/>
          <w:szCs w:val="24"/>
          <w:lang w:eastAsia="zh-CN"/>
        </w:rPr>
        <w:t>其他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31.中小企业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1、根据《政府采购促进中小企业发展管理办法》（财库〔2020〕46号）及《中小企业划型标准规定》（工信部联企业〔2011〕300号），本采购标的对应的中小企业划分标准所属行业为：</w:t>
      </w:r>
      <w:r>
        <w:rPr>
          <w:rFonts w:hint="eastAsia"/>
          <w:sz w:val="24"/>
          <w:szCs w:val="24"/>
          <w:u w:val="single"/>
        </w:rPr>
        <w:t>其他未列明行业</w:t>
      </w:r>
      <w:r>
        <w:rPr>
          <w:rFonts w:hint="eastAsia"/>
          <w:sz w:val="24"/>
          <w:szCs w:val="24"/>
        </w:rPr>
        <w:t>（划分标准见附件A）</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2、小微企业有关政策：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按照《财政部、司法部关于政府采购支持监狱企业发展有关问题的通知》（财库〔2014〕68 号）之规定，监狱企业视同小型、微型企业。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按照《财政部民政部中国残疾人联合会关于促进残疾人就业政府采购政策的通知》(财库[2017]141号)之规定残疾人福利性单位视同小型、微型企业，结合《浙江省财政厅关于进一步发挥政府采购政策功能全力推动经济稳进提质的通知》(浙财采监〔2022〕3号)，残疾人福利性单位本身为小微企业的不得重复用享受优惠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欲享受政策优惠的且属于小微型企业的须提交声明函、属于残疾人福利性单位且须提交声明函、属于监狱企业的应提供由省级以上监狱管理局、戒毒管理局（含新疆生产建设兵团）出具的属于监狱企业的证明文件。否则不认定为小微企业。。</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32.代理服务费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1、中标供应商须向采购代理机构交纳招标代理费；由中标供应商领取中标通知书时支付；请各投标单位报价时考虑该项费用。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2、服务费的货币为人民币</w:t>
      </w:r>
      <w:r>
        <w:rPr>
          <w:rFonts w:hint="eastAsia"/>
          <w:sz w:val="24"/>
          <w:szCs w:val="24"/>
          <w:lang w:eastAsia="zh-CN"/>
        </w:rPr>
        <w:t>，</w:t>
      </w:r>
      <w:r>
        <w:rPr>
          <w:rFonts w:hint="eastAsia"/>
          <w:sz w:val="24"/>
          <w:szCs w:val="24"/>
          <w:u w:val="single"/>
          <w:lang w:val="en-US" w:eastAsia="zh-CN"/>
        </w:rPr>
        <w:t>6000元</w:t>
      </w:r>
      <w:r>
        <w:rPr>
          <w:rFonts w:hint="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3、服务费支付方式：一次性以银行划账、电汇、汇票或支票的形式支付。</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4、服务费以银行划账方式按下列要求提交：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收款人：嘉兴鼎晟工程管理有限公司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户</w:t>
      </w:r>
      <w:r>
        <w:rPr>
          <w:rFonts w:hint="eastAsia"/>
          <w:sz w:val="24"/>
          <w:szCs w:val="24"/>
          <w:lang w:val="en-US" w:eastAsia="zh-CN"/>
        </w:rPr>
        <w:t xml:space="preserve">  </w:t>
      </w:r>
      <w:r>
        <w:rPr>
          <w:rFonts w:hint="eastAsia"/>
          <w:sz w:val="24"/>
          <w:szCs w:val="24"/>
        </w:rPr>
        <w:t>名：嘉兴鼎晟工程管理有限公司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开户银行：中信银行嘉兴海盐支行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账</w:t>
      </w:r>
      <w:r>
        <w:rPr>
          <w:rFonts w:hint="eastAsia"/>
          <w:sz w:val="24"/>
          <w:szCs w:val="24"/>
          <w:lang w:val="en-US" w:eastAsia="zh-CN"/>
        </w:rPr>
        <w:t xml:space="preserve">  </w:t>
      </w:r>
      <w:r>
        <w:rPr>
          <w:rFonts w:hint="eastAsia"/>
          <w:sz w:val="24"/>
          <w:szCs w:val="24"/>
        </w:rPr>
        <w:t>号：8110801012502778819</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5、服务费支付时间：服务费必须在中标人领取《中标通知书》时一次性付清，如果中标人未能按时交纳服务费，采购代理机构/采购人保留取消其中标资格并追究其法律责任的权利。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6、服务费不在投标报价中单列。</w:t>
      </w:r>
    </w:p>
    <w:p>
      <w:pPr>
        <w:keepNext w:val="0"/>
        <w:keepLines w:val="0"/>
        <w:pageBreakBefore w:val="0"/>
        <w:widowControl/>
        <w:kinsoku/>
        <w:wordWrap/>
        <w:overflowPunct/>
        <w:topLinePunct w:val="0"/>
        <w:autoSpaceDE/>
        <w:autoSpaceDN/>
        <w:bidi w:val="0"/>
        <w:adjustRightInd/>
        <w:snapToGrid/>
        <w:ind w:firstLine="420" w:firstLineChars="200"/>
        <w:textAlignment w:val="auto"/>
      </w:pPr>
    </w:p>
    <w:p>
      <w:pPr>
        <w:pStyle w:val="3"/>
        <w:keepNext w:val="0"/>
        <w:keepLines w:val="0"/>
        <w:pageBreakBefore/>
        <w:numPr>
          <w:ilvl w:val="0"/>
          <w:numId w:val="2"/>
        </w:numPr>
        <w:spacing w:beforeLines="100" w:afterLines="100" w:line="240" w:lineRule="auto"/>
        <w:jc w:val="center"/>
        <w:rPr>
          <w:rFonts w:hint="eastAsia" w:ascii="Arial" w:hAnsi="Arial" w:cs="Arial"/>
          <w:b w:val="0"/>
          <w:bCs/>
          <w:color w:val="auto"/>
          <w:sz w:val="32"/>
          <w:szCs w:val="32"/>
          <w:highlight w:val="none"/>
        </w:rPr>
      </w:pPr>
      <w:r>
        <w:rPr>
          <w:rFonts w:hint="eastAsia" w:ascii="Arial" w:hAnsi="Arial" w:cs="Arial"/>
          <w:b w:val="0"/>
          <w:bCs/>
          <w:color w:val="auto"/>
          <w:sz w:val="32"/>
          <w:szCs w:val="32"/>
          <w:highlight w:val="none"/>
          <w:lang w:val="en-US" w:eastAsia="zh-CN"/>
        </w:rPr>
        <w:t xml:space="preserve"> </w:t>
      </w:r>
      <w:bookmarkStart w:id="9" w:name="_Toc32524"/>
      <w:r>
        <w:rPr>
          <w:rFonts w:hint="eastAsia" w:ascii="Arial" w:hAnsi="Arial" w:cs="Arial"/>
          <w:b w:val="0"/>
          <w:bCs/>
          <w:color w:val="auto"/>
          <w:sz w:val="32"/>
          <w:szCs w:val="32"/>
          <w:highlight w:val="none"/>
        </w:rPr>
        <w:t>项目采购需求</w:t>
      </w:r>
      <w:bookmarkEnd w:id="9"/>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1"/>
        <w:rPr>
          <w:rFonts w:hint="eastAsia"/>
          <w:b/>
          <w:bCs w:val="0"/>
          <w:sz w:val="24"/>
          <w:szCs w:val="24"/>
          <w:highlight w:val="none"/>
        </w:rPr>
      </w:pPr>
      <w:r>
        <w:rPr>
          <w:rFonts w:hint="eastAsia"/>
          <w:b/>
          <w:bCs w:val="0"/>
          <w:sz w:val="24"/>
          <w:szCs w:val="24"/>
          <w:highlight w:val="none"/>
        </w:rPr>
        <w:t>一、项目概况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本次采购项目为西塘桥街道</w:t>
      </w:r>
      <w:r>
        <w:rPr>
          <w:rFonts w:hint="eastAsia"/>
          <w:sz w:val="24"/>
          <w:szCs w:val="24"/>
          <w:highlight w:val="none"/>
          <w:lang w:val="en-US" w:eastAsia="zh-CN"/>
        </w:rPr>
        <w:t>下辖7个城市社区（包括东海社区、滨海社区、清湖社区、新港社区、海湾社区、海城社区、海景社区）</w:t>
      </w:r>
      <w:r>
        <w:rPr>
          <w:rFonts w:hint="eastAsia"/>
          <w:sz w:val="24"/>
          <w:szCs w:val="24"/>
          <w:highlight w:val="none"/>
        </w:rPr>
        <w:t>公共环境病媒生物防制服务</w:t>
      </w:r>
      <w:r>
        <w:rPr>
          <w:rFonts w:hint="eastAsia"/>
          <w:sz w:val="24"/>
          <w:szCs w:val="24"/>
          <w:highlight w:val="none"/>
          <w:lang w:eastAsia="zh-CN"/>
        </w:rPr>
        <w:t>（</w:t>
      </w:r>
      <w:r>
        <w:rPr>
          <w:rFonts w:hint="eastAsia"/>
          <w:sz w:val="24"/>
          <w:szCs w:val="24"/>
          <w:highlight w:val="none"/>
          <w:lang w:val="en-US" w:eastAsia="zh-CN"/>
        </w:rPr>
        <w:t>另含1年内建设新增的社区公共环境</w:t>
      </w:r>
      <w:r>
        <w:rPr>
          <w:rFonts w:hint="eastAsia"/>
          <w:sz w:val="24"/>
          <w:szCs w:val="24"/>
          <w:highlight w:val="none"/>
          <w:lang w:eastAsia="zh-CN"/>
        </w:rPr>
        <w:t>），</w:t>
      </w:r>
      <w:r>
        <w:rPr>
          <w:rFonts w:hint="eastAsia"/>
          <w:sz w:val="24"/>
          <w:szCs w:val="24"/>
          <w:highlight w:val="none"/>
          <w:lang w:val="en-US" w:eastAsia="zh-CN"/>
        </w:rPr>
        <w:t>服务频次：4月-11月每月四次，12月-3月每月两次</w:t>
      </w:r>
      <w:r>
        <w:rPr>
          <w:rFonts w:hint="eastAsia"/>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1"/>
        <w:rPr>
          <w:rFonts w:hint="eastAsia"/>
          <w:b/>
          <w:bCs/>
          <w:sz w:val="24"/>
          <w:szCs w:val="24"/>
          <w:highlight w:val="none"/>
        </w:rPr>
      </w:pPr>
      <w:r>
        <w:rPr>
          <w:rFonts w:hint="eastAsia"/>
          <w:b/>
          <w:bCs/>
          <w:sz w:val="24"/>
          <w:szCs w:val="24"/>
          <w:highlight w:val="none"/>
        </w:rPr>
        <w:t>二、采购内容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highlight w:val="none"/>
          <w:lang w:val="en-US" w:eastAsia="zh-CN"/>
        </w:rPr>
      </w:pPr>
      <w:r>
        <w:rPr>
          <w:rFonts w:hint="eastAsia" w:eastAsia="宋体"/>
          <w:sz w:val="24"/>
          <w:szCs w:val="24"/>
          <w:highlight w:val="none"/>
          <w:lang w:val="en-US" w:eastAsia="zh-CN"/>
        </w:rPr>
        <w:t>1.公共环境（包括社区范围内的八小行业，所有楼房屋顶、楼道、遮雨档板、车库车棚、棚顶跳台、窨缸窨井、下水道、绿地花坛，公共厕所、垃圾中转站、公园、垃圾箱房等公用部位环境，社区内的河道、溪流、池塘及景观水池等各类水体、大型蓄水池、电缆沟等包括封闭式小区）灭鼠、蚊蝇和蟑螂的孳生消杀控制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highlight w:val="none"/>
          <w:lang w:val="en-US" w:eastAsia="zh-CN"/>
        </w:rPr>
      </w:pPr>
      <w:r>
        <w:rPr>
          <w:rFonts w:hint="eastAsia" w:eastAsia="宋体"/>
          <w:sz w:val="24"/>
          <w:szCs w:val="24"/>
          <w:highlight w:val="none"/>
          <w:lang w:val="en-US" w:eastAsia="zh-CN"/>
        </w:rPr>
        <w:t>2.公共环境病媒生物控制所需药物及投放、喷洒及环境处理；社区除四害技防设施的增补、清理与维护；各片区备检点小餐饮三防设施及城郊结合部重点场所三防设施的增补、清理与维护。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highlight w:val="none"/>
          <w:lang w:val="en-US" w:eastAsia="zh-CN"/>
        </w:rPr>
      </w:pPr>
      <w:r>
        <w:rPr>
          <w:rFonts w:hint="eastAsia" w:eastAsia="宋体"/>
          <w:sz w:val="24"/>
          <w:szCs w:val="24"/>
          <w:highlight w:val="none"/>
          <w:lang w:val="en-US" w:eastAsia="zh-CN"/>
        </w:rPr>
        <w:t>3.配合街道做好突发应急事件环境消杀及市、区、街道爱卫办组织的其它除四害活动（包括要求承担的公益性服务）。</w:t>
      </w:r>
    </w:p>
    <w:p>
      <w:pPr>
        <w:pStyle w:val="102"/>
        <w:pageBreakBefore w:val="0"/>
        <w:widowControl w:val="0"/>
        <w:kinsoku/>
        <w:wordWrap/>
        <w:overflowPunct/>
        <w:topLinePunct w:val="0"/>
        <w:autoSpaceDE/>
        <w:autoSpaceDN/>
        <w:bidi w:val="0"/>
        <w:adjustRightInd/>
        <w:snapToGrid/>
        <w:spacing w:line="360" w:lineRule="auto"/>
        <w:ind w:firstLine="480" w:firstLineChars="200"/>
        <w:rPr>
          <w:rFonts w:hint="default"/>
          <w:highlight w:val="none"/>
          <w:lang w:val="en-US" w:eastAsia="zh-CN"/>
        </w:rPr>
      </w:pPr>
      <w:r>
        <w:rPr>
          <w:rFonts w:hint="eastAsia" w:ascii="Times New Roman" w:hAnsi="Times New Roman" w:eastAsia="宋体" w:cs="Times New Roman"/>
          <w:b w:val="0"/>
          <w:bCs w:val="0"/>
          <w:kern w:val="0"/>
          <w:sz w:val="24"/>
          <w:szCs w:val="24"/>
          <w:highlight w:val="none"/>
          <w:lang w:val="en-US" w:eastAsia="zh-CN" w:bidi="ar-SA"/>
        </w:rPr>
        <w:t>4.协助街道加强除四害宣传教育，制定员工培训计划，开展各项活动，采取拍摄制作图文并茂、通俗易懂的宣传资料等方式向市民群众进行除害防病知识宣传。提高全民对做好除害防病工作重要性和必要性的认识，使之社区全覆盖、家喻户晓、人人明白、全民参与。</w:t>
      </w:r>
    </w:p>
    <w:p>
      <w:pPr>
        <w:pStyle w:val="102"/>
        <w:pageBreakBefore w:val="0"/>
        <w:widowControl w:val="0"/>
        <w:kinsoku/>
        <w:wordWrap/>
        <w:overflowPunct/>
        <w:topLinePunct w:val="0"/>
        <w:autoSpaceDE/>
        <w:autoSpaceDN/>
        <w:bidi w:val="0"/>
        <w:adjustRightInd/>
        <w:snapToGrid/>
        <w:spacing w:line="360" w:lineRule="auto"/>
        <w:ind w:firstLine="480" w:firstLineChars="200"/>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5.向所服务社区低保户等困难家庭户无偿提供家庭用灭幛、灭鼠药等除"四害"药品及技术指导，向所服务社区居民家庭无偿提供除"四害"技术指导。</w:t>
      </w:r>
    </w:p>
    <w:p>
      <w:pPr>
        <w:pStyle w:val="102"/>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6.中标单位的消杀人员应定期到街道公共服务管理办公室、社区居委会报到（应定有固定作业人员3人），向分管人员汇报工作计划，并服从分配的具体工作任务。</w:t>
      </w:r>
    </w:p>
    <w:p>
      <w:pPr>
        <w:pageBreakBefore w:val="0"/>
        <w:widowControl w:val="0"/>
        <w:kinsoku/>
        <w:wordWrap/>
        <w:overflowPunct/>
        <w:topLinePunct w:val="0"/>
        <w:autoSpaceDE/>
        <w:autoSpaceDN/>
        <w:bidi w:val="0"/>
        <w:adjustRightInd/>
        <w:snapToGrid/>
        <w:spacing w:beforeLines="0" w:line="360" w:lineRule="auto"/>
        <w:ind w:firstLine="480" w:firstLineChars="200"/>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7.每季度一次孳生地（如鼠洞、严重卫生死角等）调查，收集和处理死老鼠等。</w:t>
      </w:r>
    </w:p>
    <w:p>
      <w:pPr>
        <w:pageBreakBefore w:val="0"/>
        <w:widowControl w:val="0"/>
        <w:kinsoku/>
        <w:wordWrap/>
        <w:overflowPunct/>
        <w:topLinePunct w:val="0"/>
        <w:autoSpaceDE/>
        <w:autoSpaceDN/>
        <w:bidi w:val="0"/>
        <w:adjustRightInd/>
        <w:snapToGrid/>
        <w:spacing w:beforeLines="0" w:line="360" w:lineRule="auto"/>
        <w:ind w:firstLine="480" w:firstLineChars="200"/>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8.做好服务区域的</w:t>
      </w:r>
      <w:r>
        <w:rPr>
          <w:rFonts w:hint="eastAsia" w:eastAsia="宋体" w:cs="Times New Roman"/>
          <w:b w:val="0"/>
          <w:bCs w:val="0"/>
          <w:kern w:val="0"/>
          <w:sz w:val="24"/>
          <w:szCs w:val="24"/>
          <w:highlight w:val="none"/>
          <w:lang w:val="en-US" w:eastAsia="zh-CN" w:bidi="ar-SA"/>
        </w:rPr>
        <w:t>“</w:t>
      </w:r>
      <w:r>
        <w:rPr>
          <w:rFonts w:hint="eastAsia" w:ascii="Times New Roman" w:hAnsi="Times New Roman" w:eastAsia="宋体" w:cs="Times New Roman"/>
          <w:b w:val="0"/>
          <w:bCs w:val="0"/>
          <w:kern w:val="0"/>
          <w:sz w:val="24"/>
          <w:szCs w:val="24"/>
          <w:highlight w:val="none"/>
          <w:lang w:val="en-US" w:eastAsia="zh-CN" w:bidi="ar-SA"/>
        </w:rPr>
        <w:t>四害</w:t>
      </w:r>
      <w:r>
        <w:rPr>
          <w:rFonts w:hint="eastAsia" w:eastAsia="宋体" w:cs="Times New Roman"/>
          <w:b w:val="0"/>
          <w:bCs w:val="0"/>
          <w:kern w:val="0"/>
          <w:sz w:val="24"/>
          <w:szCs w:val="24"/>
          <w:highlight w:val="none"/>
          <w:lang w:val="en-US" w:eastAsia="zh-CN" w:bidi="ar-SA"/>
        </w:rPr>
        <w:t>”</w:t>
      </w:r>
      <w:r>
        <w:rPr>
          <w:rFonts w:hint="eastAsia" w:ascii="Times New Roman" w:hAnsi="Times New Roman" w:eastAsia="宋体" w:cs="Times New Roman"/>
          <w:b w:val="0"/>
          <w:bCs w:val="0"/>
          <w:kern w:val="0"/>
          <w:sz w:val="24"/>
          <w:szCs w:val="24"/>
          <w:highlight w:val="none"/>
          <w:lang w:val="en-US" w:eastAsia="zh-CN" w:bidi="ar-SA"/>
        </w:rPr>
        <w:t>密度监测，并做好整改工作。鼠、蟑每单月15日开展一次，蚊、蝇每年4-10月15日开展一次，按月上报小结，按季上报分析报告，按年度上报工作总结。</w:t>
      </w:r>
    </w:p>
    <w:p>
      <w:pPr>
        <w:pageBreakBefore w:val="0"/>
        <w:widowControl w:val="0"/>
        <w:kinsoku/>
        <w:wordWrap/>
        <w:overflowPunct/>
        <w:topLinePunct w:val="0"/>
        <w:autoSpaceDE/>
        <w:autoSpaceDN/>
        <w:bidi w:val="0"/>
        <w:adjustRightInd/>
        <w:snapToGrid/>
        <w:spacing w:beforeLines="0" w:line="360" w:lineRule="auto"/>
        <w:ind w:firstLine="480" w:firstLineChars="200"/>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9.消杀工作之前，先告之采购单位，认真听取其建议</w:t>
      </w:r>
      <w:r>
        <w:rPr>
          <w:rFonts w:hint="eastAsia" w:cs="Times New Roman"/>
          <w:b w:val="0"/>
          <w:bCs w:val="0"/>
          <w:kern w:val="0"/>
          <w:sz w:val="24"/>
          <w:szCs w:val="24"/>
          <w:highlight w:val="none"/>
          <w:lang w:val="en-US" w:eastAsia="zh-CN" w:bidi="ar-SA"/>
        </w:rPr>
        <w:t>，并做好公示公告，告知小区居民</w:t>
      </w:r>
      <w:r>
        <w:rPr>
          <w:rFonts w:hint="eastAsia" w:ascii="Times New Roman" w:hAnsi="Times New Roman" w:eastAsia="宋体" w:cs="Times New Roman"/>
          <w:b w:val="0"/>
          <w:bCs w:val="0"/>
          <w:kern w:val="0"/>
          <w:sz w:val="24"/>
          <w:szCs w:val="24"/>
          <w:highlight w:val="none"/>
          <w:lang w:val="en-US" w:eastAsia="zh-CN" w:bidi="ar-SA"/>
        </w:rPr>
        <w:t>；服务后进行复查，及时查补遗漏，清理好现场工作器械和药物。</w:t>
      </w:r>
    </w:p>
    <w:p>
      <w:pPr>
        <w:ind w:firstLine="480" w:firstLineChars="200"/>
        <w:outlineLvl w:val="9"/>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10.本合同新增设备：</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4611"/>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074" w:type="dxa"/>
            <w:vAlign w:val="center"/>
          </w:tcPr>
          <w:p>
            <w:pPr>
              <w:pStyle w:val="4"/>
              <w:widowControl w:val="0"/>
              <w:jc w:val="center"/>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序号</w:t>
            </w:r>
          </w:p>
        </w:tc>
        <w:tc>
          <w:tcPr>
            <w:tcW w:w="4611" w:type="dxa"/>
            <w:vAlign w:val="center"/>
          </w:tcPr>
          <w:p>
            <w:pPr>
              <w:pStyle w:val="4"/>
              <w:widowControl w:val="0"/>
              <w:jc w:val="center"/>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内容</w:t>
            </w:r>
          </w:p>
        </w:tc>
        <w:tc>
          <w:tcPr>
            <w:tcW w:w="2843" w:type="dxa"/>
            <w:vAlign w:val="center"/>
          </w:tcPr>
          <w:p>
            <w:pPr>
              <w:pStyle w:val="4"/>
              <w:widowControl w:val="0"/>
              <w:jc w:val="center"/>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74" w:type="dxa"/>
            <w:vAlign w:val="center"/>
          </w:tcPr>
          <w:p>
            <w:pPr>
              <w:pStyle w:val="4"/>
              <w:widowControl w:val="0"/>
              <w:jc w:val="center"/>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1</w:t>
            </w:r>
          </w:p>
        </w:tc>
        <w:tc>
          <w:tcPr>
            <w:tcW w:w="4611" w:type="dxa"/>
            <w:vAlign w:val="center"/>
          </w:tcPr>
          <w:p>
            <w:pPr>
              <w:pStyle w:val="4"/>
              <w:widowControl w:val="0"/>
              <w:jc w:val="center"/>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鼠饵站</w:t>
            </w:r>
          </w:p>
        </w:tc>
        <w:tc>
          <w:tcPr>
            <w:tcW w:w="2843" w:type="dxa"/>
            <w:vAlign w:val="center"/>
          </w:tcPr>
          <w:p>
            <w:pPr>
              <w:pStyle w:val="4"/>
              <w:widowControl w:val="0"/>
              <w:jc w:val="center"/>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2000个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074" w:type="dxa"/>
            <w:vAlign w:val="center"/>
          </w:tcPr>
          <w:p>
            <w:pPr>
              <w:pStyle w:val="4"/>
              <w:widowControl w:val="0"/>
              <w:jc w:val="center"/>
              <w:rPr>
                <w:rFonts w:hint="default" w:ascii="Times New Roman" w:hAnsi="Times New Roman"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2</w:t>
            </w:r>
          </w:p>
        </w:tc>
        <w:tc>
          <w:tcPr>
            <w:tcW w:w="4611" w:type="dxa"/>
            <w:vAlign w:val="center"/>
          </w:tcPr>
          <w:p>
            <w:pPr>
              <w:pStyle w:val="4"/>
              <w:widowControl w:val="0"/>
              <w:jc w:val="center"/>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插地式捕蝇笼</w:t>
            </w:r>
          </w:p>
        </w:tc>
        <w:tc>
          <w:tcPr>
            <w:tcW w:w="2843" w:type="dxa"/>
            <w:vAlign w:val="center"/>
          </w:tcPr>
          <w:p>
            <w:pPr>
              <w:pStyle w:val="4"/>
              <w:widowControl w:val="0"/>
              <w:jc w:val="center"/>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80个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vAlign w:val="center"/>
          </w:tcPr>
          <w:p>
            <w:pPr>
              <w:pStyle w:val="4"/>
              <w:widowControl w:val="0"/>
              <w:jc w:val="center"/>
              <w:rPr>
                <w:rFonts w:hint="default" w:ascii="Times New Roman" w:hAnsi="Times New Roman"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3</w:t>
            </w:r>
          </w:p>
        </w:tc>
        <w:tc>
          <w:tcPr>
            <w:tcW w:w="4611" w:type="dxa"/>
            <w:vAlign w:val="center"/>
          </w:tcPr>
          <w:p>
            <w:pPr>
              <w:pStyle w:val="4"/>
              <w:widowControl w:val="0"/>
              <w:jc w:val="center"/>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在下水道主管网安装挡鼠网，</w:t>
            </w:r>
            <w:r>
              <w:rPr>
                <w:rFonts w:hint="eastAsia" w:ascii="Times New Roman" w:hAnsi="Times New Roman" w:cs="Times New Roman"/>
                <w:b w:val="0"/>
                <w:bCs w:val="0"/>
                <w:kern w:val="0"/>
                <w:sz w:val="24"/>
                <w:szCs w:val="24"/>
                <w:highlight w:val="none"/>
                <w:lang w:val="en-US" w:eastAsia="zh-CN" w:bidi="ar-SA"/>
              </w:rPr>
              <w:t>档鼠网宽度为1.2米</w:t>
            </w:r>
          </w:p>
        </w:tc>
        <w:tc>
          <w:tcPr>
            <w:tcW w:w="2843" w:type="dxa"/>
            <w:vAlign w:val="center"/>
          </w:tcPr>
          <w:p>
            <w:pPr>
              <w:pStyle w:val="4"/>
              <w:widowControl w:val="0"/>
              <w:jc w:val="center"/>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70米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vAlign w:val="center"/>
          </w:tcPr>
          <w:p>
            <w:pPr>
              <w:pStyle w:val="4"/>
              <w:widowControl w:val="0"/>
              <w:jc w:val="center"/>
              <w:rPr>
                <w:rFonts w:hint="default" w:ascii="Times New Roman" w:hAnsi="Times New Roman"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4</w:t>
            </w:r>
          </w:p>
        </w:tc>
        <w:tc>
          <w:tcPr>
            <w:tcW w:w="4611" w:type="dxa"/>
            <w:vAlign w:val="center"/>
          </w:tcPr>
          <w:p>
            <w:pPr>
              <w:pStyle w:val="4"/>
              <w:widowControl w:val="0"/>
              <w:jc w:val="center"/>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lang w:val="en-US" w:eastAsia="zh-CN" w:bidi="ar-SA"/>
              </w:rPr>
              <w:t>户</w:t>
            </w:r>
            <w:r>
              <w:rPr>
                <w:rFonts w:hint="eastAsia" w:ascii="Times New Roman" w:hAnsi="Times New Roman" w:eastAsia="宋体" w:cs="Times New Roman"/>
                <w:b w:val="0"/>
                <w:bCs w:val="0"/>
                <w:kern w:val="0"/>
                <w:sz w:val="24"/>
                <w:szCs w:val="24"/>
                <w:highlight w:val="none"/>
                <w:lang w:val="en-US" w:eastAsia="zh-CN" w:bidi="ar-SA"/>
              </w:rPr>
              <w:t>外捕蝇灯</w:t>
            </w:r>
          </w:p>
        </w:tc>
        <w:tc>
          <w:tcPr>
            <w:tcW w:w="2843" w:type="dxa"/>
            <w:vAlign w:val="center"/>
          </w:tcPr>
          <w:p>
            <w:pPr>
              <w:pStyle w:val="4"/>
              <w:widowControl w:val="0"/>
              <w:jc w:val="center"/>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4台</w:t>
            </w:r>
          </w:p>
        </w:tc>
      </w:tr>
    </w:tbl>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eastAsia="宋体"/>
          <w:b/>
          <w:bCs/>
          <w:sz w:val="24"/>
          <w:szCs w:val="24"/>
          <w:highlight w:val="none"/>
          <w:lang w:eastAsia="zh-CN"/>
        </w:rPr>
      </w:pPr>
      <w:r>
        <w:rPr>
          <w:rFonts w:hint="eastAsia"/>
          <w:b/>
          <w:bCs/>
          <w:sz w:val="24"/>
          <w:szCs w:val="24"/>
          <w:highlight w:val="none"/>
          <w:lang w:eastAsia="zh-CN"/>
        </w:rPr>
        <w:t>此项为设备报价，设备最高限价为10万元，在报价中单列，最终按实际发生的结算。</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1"/>
        <w:rPr>
          <w:rFonts w:hint="eastAsia"/>
          <w:b/>
          <w:bCs/>
          <w:sz w:val="24"/>
          <w:szCs w:val="24"/>
          <w:highlight w:val="none"/>
        </w:rPr>
      </w:pPr>
      <w:r>
        <w:rPr>
          <w:rFonts w:hint="eastAsia"/>
          <w:b/>
          <w:bCs/>
          <w:sz w:val="24"/>
          <w:szCs w:val="24"/>
          <w:highlight w:val="none"/>
        </w:rPr>
        <w:t>三、服务期限：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rPr>
      </w:pPr>
      <w:r>
        <w:rPr>
          <w:rFonts w:hint="eastAsia"/>
          <w:sz w:val="24"/>
          <w:szCs w:val="24"/>
          <w:highlight w:val="none"/>
        </w:rPr>
        <w:t>合同签订之日起</w:t>
      </w:r>
      <w:r>
        <w:rPr>
          <w:rFonts w:hint="eastAsia"/>
          <w:sz w:val="24"/>
          <w:szCs w:val="24"/>
          <w:highlight w:val="none"/>
          <w:lang w:val="en-US" w:eastAsia="zh-CN"/>
        </w:rPr>
        <w:t>1年完成病媒生物控制工作</w:t>
      </w:r>
      <w:r>
        <w:rPr>
          <w:rFonts w:hint="eastAsia"/>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1"/>
        <w:rPr>
          <w:rFonts w:hint="eastAsia"/>
          <w:b/>
          <w:bCs/>
          <w:sz w:val="24"/>
          <w:szCs w:val="24"/>
          <w:highlight w:val="none"/>
        </w:rPr>
      </w:pPr>
      <w:r>
        <w:rPr>
          <w:rFonts w:hint="eastAsia"/>
          <w:b/>
          <w:bCs/>
          <w:sz w:val="24"/>
          <w:szCs w:val="24"/>
          <w:highlight w:val="none"/>
        </w:rPr>
        <w:t>四、服务费用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highlight w:val="none"/>
        </w:rPr>
      </w:pPr>
      <w:r>
        <w:rPr>
          <w:rFonts w:hint="eastAsia"/>
          <w:sz w:val="24"/>
          <w:szCs w:val="24"/>
          <w:highlight w:val="none"/>
        </w:rPr>
        <w:t>投标人的最终报价应包括所有消杀服务所需的药物、器械、人工、运杂、税金、</w:t>
      </w:r>
      <w:r>
        <w:rPr>
          <w:rFonts w:hint="eastAsia"/>
          <w:sz w:val="24"/>
          <w:szCs w:val="24"/>
          <w:highlight w:val="none"/>
          <w:lang w:val="en-US" w:eastAsia="zh-CN"/>
        </w:rPr>
        <w:t>设备、</w:t>
      </w:r>
      <w:r>
        <w:rPr>
          <w:rFonts w:hint="eastAsia"/>
          <w:sz w:val="24"/>
          <w:szCs w:val="24"/>
          <w:highlight w:val="none"/>
        </w:rPr>
        <w:t>相关服务承诺等各项可能涉及的费用。</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82" w:firstLineChars="200"/>
        <w:textAlignment w:val="auto"/>
        <w:outlineLvl w:val="1"/>
        <w:rPr>
          <w:rFonts w:hint="eastAsia"/>
          <w:b/>
          <w:bCs/>
          <w:sz w:val="24"/>
          <w:szCs w:val="24"/>
          <w:highlight w:val="none"/>
          <w:lang w:val="en-US" w:eastAsia="zh-CN"/>
        </w:rPr>
      </w:pPr>
      <w:r>
        <w:rPr>
          <w:rFonts w:hint="eastAsia"/>
          <w:b/>
          <w:bCs/>
          <w:sz w:val="24"/>
          <w:szCs w:val="24"/>
          <w:highlight w:val="none"/>
          <w:lang w:val="en-US" w:eastAsia="zh-CN"/>
        </w:rPr>
        <w:t>供应商工作要求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sz w:val="24"/>
          <w:szCs w:val="24"/>
          <w:highlight w:val="none"/>
          <w:lang w:val="en-US" w:eastAsia="zh-CN"/>
        </w:rPr>
      </w:pPr>
      <w:r>
        <w:rPr>
          <w:rFonts w:hint="eastAsia"/>
          <w:sz w:val="24"/>
          <w:szCs w:val="24"/>
          <w:highlight w:val="none"/>
          <w:lang w:val="en-US" w:eastAsia="zh-CN"/>
        </w:rPr>
        <w:t>1.供应商病媒生物防制药物需选用符合国家规定要求的药物，选用高效低毒杀虫、灭鼠剂，进货渠道正规，所有农药登记证，符合“三证要求”，严禁使用国家禁用药物，并在街道爱卫办备案。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sz w:val="24"/>
          <w:szCs w:val="24"/>
          <w:highlight w:val="none"/>
          <w:lang w:val="en-US" w:eastAsia="zh-CN"/>
        </w:rPr>
      </w:pPr>
      <w:r>
        <w:rPr>
          <w:rFonts w:hint="eastAsia"/>
          <w:sz w:val="24"/>
          <w:szCs w:val="24"/>
          <w:highlight w:val="none"/>
          <w:lang w:val="en-US" w:eastAsia="zh-CN"/>
        </w:rPr>
        <w:t>2.供应商安排的有害生物防制服务</w:t>
      </w:r>
      <w:r>
        <w:rPr>
          <w:rFonts w:hint="eastAsia" w:ascii="Times New Roman" w:hAnsi="Times New Roman" w:eastAsia="宋体" w:cs="Times New Roman"/>
          <w:b w:val="0"/>
          <w:bCs w:val="0"/>
          <w:sz w:val="24"/>
          <w:szCs w:val="24"/>
          <w:highlight w:val="none"/>
          <w:lang w:val="en-US" w:eastAsia="zh-CN" w:bidi="ar-SA"/>
        </w:rPr>
        <w:t>作业人员</w:t>
      </w:r>
      <w:r>
        <w:rPr>
          <w:rFonts w:hint="eastAsia" w:cs="Times New Roman"/>
          <w:b w:val="0"/>
          <w:bCs w:val="0"/>
          <w:sz w:val="24"/>
          <w:szCs w:val="24"/>
          <w:highlight w:val="none"/>
          <w:lang w:val="en-US" w:eastAsia="zh-CN" w:bidi="ar-SA"/>
        </w:rPr>
        <w:t>需</w:t>
      </w:r>
      <w:r>
        <w:rPr>
          <w:rFonts w:hint="eastAsia" w:ascii="Times New Roman" w:hAnsi="Times New Roman" w:eastAsia="宋体" w:cs="Times New Roman"/>
          <w:b w:val="0"/>
          <w:bCs w:val="0"/>
          <w:sz w:val="24"/>
          <w:szCs w:val="24"/>
          <w:highlight w:val="none"/>
          <w:lang w:val="en-US" w:eastAsia="zh-CN" w:bidi="ar-SA"/>
        </w:rPr>
        <w:t>具备病媒生物服务资质，拥有有害生物防治员证或除四害科技协会颁发的从业资格证。</w:t>
      </w:r>
      <w:r>
        <w:rPr>
          <w:rFonts w:hint="eastAsia"/>
          <w:sz w:val="24"/>
          <w:szCs w:val="24"/>
          <w:highlight w:val="none"/>
          <w:lang w:val="en-US" w:eastAsia="zh-CN"/>
        </w:rPr>
        <w:t>有害生物防制服务单位</w:t>
      </w:r>
      <w:r>
        <w:rPr>
          <w:rFonts w:hint="eastAsia" w:ascii="Times New Roman" w:hAnsi="Times New Roman" w:eastAsia="宋体" w:cs="Times New Roman"/>
          <w:b w:val="0"/>
          <w:bCs w:val="0"/>
          <w:sz w:val="24"/>
          <w:szCs w:val="24"/>
          <w:highlight w:val="none"/>
          <w:lang w:val="en-US" w:eastAsia="zh-CN" w:bidi="ar-SA"/>
        </w:rPr>
        <w:t>作业人员</w:t>
      </w:r>
      <w:r>
        <w:rPr>
          <w:rFonts w:hint="eastAsia" w:cs="Times New Roman"/>
          <w:b w:val="0"/>
          <w:bCs w:val="0"/>
          <w:sz w:val="24"/>
          <w:szCs w:val="24"/>
          <w:highlight w:val="none"/>
          <w:lang w:val="en-US" w:eastAsia="zh-CN" w:bidi="ar-SA"/>
        </w:rPr>
        <w:t>，需在街道爱卫办登记备案，中途变更重新登记备案。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3.供应商应科学规范的使用要求，确保人、禽的安全；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4.供应商应向承包片区的社区居民公示公司名称、负责人、联系电话，以及街道爱卫办监督电话（应在小区楼道、社区告示栏等处上墙公示基本信息）。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sz w:val="24"/>
          <w:szCs w:val="24"/>
          <w:highlight w:val="none"/>
          <w:lang w:val="en-US" w:eastAsia="zh-CN"/>
        </w:rPr>
      </w:pPr>
      <w:r>
        <w:rPr>
          <w:rFonts w:hint="eastAsia"/>
          <w:sz w:val="24"/>
          <w:szCs w:val="24"/>
          <w:highlight w:val="none"/>
          <w:lang w:val="en-US" w:eastAsia="zh-CN"/>
        </w:rPr>
        <w:t>5.供应商在作业后提交作业记录单（需经社区和街道签字确认），每月30日应向街道提供本月密度监测报表、作业记录单和工作小结、下月月工作计划。每季度季末提交</w:t>
      </w:r>
      <w:r>
        <w:rPr>
          <w:rFonts w:hint="eastAsia" w:ascii="Times New Roman" w:hAnsi="Times New Roman" w:eastAsia="宋体" w:cs="Times New Roman"/>
          <w:b w:val="0"/>
          <w:bCs w:val="0"/>
          <w:kern w:val="0"/>
          <w:sz w:val="24"/>
          <w:szCs w:val="24"/>
          <w:highlight w:val="none"/>
          <w:lang w:val="en-US" w:eastAsia="zh-CN" w:bidi="ar-SA"/>
        </w:rPr>
        <w:t>孳生地调查</w:t>
      </w:r>
      <w:r>
        <w:rPr>
          <w:rFonts w:hint="eastAsia" w:cs="Times New Roman"/>
          <w:b w:val="0"/>
          <w:bCs w:val="0"/>
          <w:kern w:val="0"/>
          <w:sz w:val="24"/>
          <w:szCs w:val="24"/>
          <w:highlight w:val="none"/>
          <w:lang w:val="en-US" w:eastAsia="zh-CN" w:bidi="ar-SA"/>
        </w:rPr>
        <w:t>报告。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sz w:val="24"/>
          <w:szCs w:val="24"/>
          <w:highlight w:val="none"/>
          <w:lang w:val="en-US" w:eastAsia="zh-CN"/>
        </w:rPr>
      </w:pPr>
      <w:r>
        <w:rPr>
          <w:rFonts w:hint="eastAsia"/>
          <w:sz w:val="24"/>
          <w:szCs w:val="24"/>
          <w:highlight w:val="none"/>
          <w:lang w:val="en-US" w:eastAsia="zh-CN"/>
        </w:rPr>
        <w:t>6.资料管理：供应商每次作业均需在作业联系单载明用药名称、浓度、用量，并按照《创建国家卫生城市工作档案基本资料参考目录》、《浙江省病媒生物控制水平评估认可管理办法》、《嘉兴市镇区病媒生物控制水平评估认可管理办法》的要求，完善病媒生物防制工作的相关资料，确保街道后续病媒生物A级街道复评资料满足相关要求。</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1"/>
        <w:rPr>
          <w:rFonts w:hint="eastAsia"/>
          <w:b/>
          <w:bCs/>
          <w:sz w:val="24"/>
          <w:szCs w:val="24"/>
          <w:highlight w:val="none"/>
        </w:rPr>
      </w:pPr>
      <w:r>
        <w:rPr>
          <w:rFonts w:hint="eastAsia"/>
          <w:b/>
          <w:bCs/>
          <w:sz w:val="24"/>
          <w:szCs w:val="24"/>
          <w:highlight w:val="none"/>
          <w:lang w:val="en-US" w:eastAsia="zh-CN"/>
        </w:rPr>
        <w:t>六</w:t>
      </w:r>
      <w:r>
        <w:rPr>
          <w:rFonts w:hint="eastAsia"/>
          <w:b/>
          <w:bCs/>
          <w:sz w:val="24"/>
          <w:szCs w:val="24"/>
          <w:highlight w:val="none"/>
        </w:rPr>
        <w:t>、质量要求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1.服务质量达到《中华人民共和国国家标准》（GB／[T27770－27773]—2011〔鼠、蚊、蝇、蟑螂〕）规定标准A级控制水平</w:t>
      </w:r>
      <w:r>
        <w:rPr>
          <w:rFonts w:hint="eastAsia"/>
          <w:sz w:val="24"/>
          <w:szCs w:val="24"/>
          <w:highlight w:val="none"/>
          <w:lang w:eastAsia="zh-CN"/>
        </w:rPr>
        <w:t>，</w:t>
      </w:r>
      <w:r>
        <w:rPr>
          <w:rFonts w:hint="eastAsia"/>
          <w:sz w:val="24"/>
          <w:szCs w:val="24"/>
          <w:highlight w:val="none"/>
          <w:lang w:val="en-US" w:eastAsia="zh-CN"/>
        </w:rPr>
        <w:t>持续巩固街道病媒A级创建成果</w:t>
      </w:r>
      <w:r>
        <w:rPr>
          <w:rFonts w:hint="eastAsia"/>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具体如下：</w:t>
      </w:r>
    </w:p>
    <w:p>
      <w:pPr>
        <w:pStyle w:val="16"/>
        <w:snapToGrid w:val="0"/>
        <w:spacing w:before="120" w:after="120" w:line="360" w:lineRule="auto"/>
        <w:ind w:left="361" w:hanging="408" w:hangingChars="170"/>
        <w:rPr>
          <w:rFonts w:hint="eastAsia" w:hAnsi="宋体"/>
          <w:sz w:val="24"/>
          <w:szCs w:val="24"/>
          <w:highlight w:val="none"/>
        </w:rPr>
      </w:pPr>
      <w:r>
        <w:rPr>
          <w:rFonts w:hint="eastAsia" w:hAnsi="宋体"/>
          <w:sz w:val="24"/>
          <w:szCs w:val="24"/>
          <w:highlight w:val="none"/>
        </w:rPr>
        <w:t>《中华人民共和国国家标准》（GB／[T27770－27773]—2011〔鼠、蚊、蝇、蟑螂〕）摘录：</w:t>
      </w:r>
    </w:p>
    <w:p>
      <w:pPr>
        <w:pStyle w:val="16"/>
        <w:numPr>
          <w:ilvl w:val="0"/>
          <w:numId w:val="0"/>
        </w:numPr>
        <w:snapToGrid w:val="0"/>
        <w:spacing w:before="120" w:after="120" w:line="360" w:lineRule="auto"/>
        <w:ind w:left="315" w:leftChars="0"/>
        <w:rPr>
          <w:rFonts w:hint="eastAsia" w:hAnsi="宋体"/>
          <w:sz w:val="24"/>
          <w:szCs w:val="24"/>
          <w:highlight w:val="none"/>
        </w:rPr>
      </w:pPr>
      <w:r>
        <w:rPr>
          <w:rFonts w:hint="eastAsia" w:hAnsi="宋体"/>
          <w:sz w:val="24"/>
          <w:szCs w:val="24"/>
          <w:highlight w:val="none"/>
          <w:lang w:val="en-US" w:eastAsia="zh-CN"/>
        </w:rPr>
        <w:t>(1)</w:t>
      </w:r>
      <w:r>
        <w:rPr>
          <w:rFonts w:hint="eastAsia" w:hAnsi="宋体"/>
          <w:sz w:val="24"/>
          <w:szCs w:val="24"/>
          <w:highlight w:val="none"/>
        </w:rPr>
        <w:t>鼠密度控制水平A级</w:t>
      </w:r>
    </w:p>
    <w:p>
      <w:pPr>
        <w:pStyle w:val="16"/>
        <w:snapToGrid w:val="0"/>
        <w:spacing w:before="120" w:after="120" w:line="360" w:lineRule="auto"/>
        <w:ind w:left="315" w:firstLine="360" w:firstLineChars="150"/>
        <w:rPr>
          <w:rFonts w:hint="eastAsia" w:hAnsi="宋体"/>
          <w:sz w:val="24"/>
          <w:szCs w:val="24"/>
          <w:highlight w:val="none"/>
        </w:rPr>
      </w:pPr>
      <w:r>
        <w:rPr>
          <w:rFonts w:hint="eastAsia" w:hAnsi="宋体"/>
          <w:sz w:val="24"/>
          <w:szCs w:val="24"/>
          <w:highlight w:val="none"/>
        </w:rPr>
        <w:t>防鼠设施合格率≥97%； 室内鼠迹阳性率≤1%；   外环境鼠路径指数≤1。</w:t>
      </w:r>
    </w:p>
    <w:p>
      <w:pPr>
        <w:pStyle w:val="16"/>
        <w:snapToGrid w:val="0"/>
        <w:spacing w:before="120" w:after="120" w:line="360" w:lineRule="auto"/>
        <w:ind w:left="361" w:hanging="408" w:hangingChars="170"/>
        <w:rPr>
          <w:rFonts w:hint="eastAsia" w:hAnsi="宋体"/>
          <w:sz w:val="24"/>
          <w:szCs w:val="24"/>
          <w:highlight w:val="none"/>
        </w:rPr>
      </w:pPr>
      <w:r>
        <w:rPr>
          <w:rFonts w:hint="eastAsia" w:hAnsi="宋体"/>
          <w:sz w:val="24"/>
          <w:szCs w:val="24"/>
          <w:highlight w:val="none"/>
        </w:rPr>
        <w:t xml:space="preserve">   </w:t>
      </w:r>
      <w:r>
        <w:rPr>
          <w:rFonts w:hint="eastAsia" w:hAnsi="宋体"/>
          <w:sz w:val="24"/>
          <w:szCs w:val="24"/>
          <w:highlight w:val="none"/>
          <w:lang w:val="en-US" w:eastAsia="zh-CN"/>
        </w:rPr>
        <w:t>(</w:t>
      </w:r>
      <w:r>
        <w:rPr>
          <w:rFonts w:hint="eastAsia" w:hAnsi="宋体"/>
          <w:sz w:val="24"/>
          <w:szCs w:val="24"/>
          <w:highlight w:val="none"/>
        </w:rPr>
        <w:t>2</w:t>
      </w:r>
      <w:r>
        <w:rPr>
          <w:rFonts w:hint="eastAsia" w:hAnsi="宋体"/>
          <w:sz w:val="24"/>
          <w:szCs w:val="24"/>
          <w:highlight w:val="none"/>
          <w:lang w:val="en-US" w:eastAsia="zh-CN"/>
        </w:rPr>
        <w:t>)</w:t>
      </w:r>
      <w:r>
        <w:rPr>
          <w:rFonts w:hint="eastAsia" w:hAnsi="宋体"/>
          <w:sz w:val="24"/>
          <w:szCs w:val="24"/>
          <w:highlight w:val="none"/>
        </w:rPr>
        <w:t>蚊虫密度控制水平A级</w:t>
      </w:r>
    </w:p>
    <w:p>
      <w:pPr>
        <w:pStyle w:val="16"/>
        <w:snapToGrid w:val="0"/>
        <w:spacing w:before="120" w:after="120" w:line="360" w:lineRule="auto"/>
        <w:ind w:left="573" w:hanging="648" w:hangingChars="270"/>
        <w:rPr>
          <w:rFonts w:hint="eastAsia" w:hAnsi="宋体"/>
          <w:sz w:val="24"/>
          <w:szCs w:val="24"/>
          <w:highlight w:val="none"/>
        </w:rPr>
      </w:pPr>
      <w:r>
        <w:rPr>
          <w:rFonts w:hint="eastAsia" w:hAnsi="宋体"/>
          <w:sz w:val="24"/>
          <w:szCs w:val="24"/>
          <w:highlight w:val="none"/>
        </w:rPr>
        <w:t xml:space="preserve">     小型积水蚊虫路径指数≤0.1；大中型水体蚊虫采样勺指数≤1%，平均每阳性勺少于3只蚊幼虫和蛹；外环境蚊虫停落指数≤0.5。</w:t>
      </w:r>
    </w:p>
    <w:p>
      <w:pPr>
        <w:pStyle w:val="16"/>
        <w:numPr>
          <w:ilvl w:val="0"/>
          <w:numId w:val="0"/>
        </w:numPr>
        <w:snapToGrid w:val="0"/>
        <w:spacing w:before="120" w:after="120" w:line="360" w:lineRule="auto"/>
        <w:ind w:left="315" w:leftChars="0"/>
        <w:rPr>
          <w:rFonts w:hint="eastAsia" w:hAnsi="宋体"/>
          <w:sz w:val="24"/>
          <w:szCs w:val="24"/>
          <w:highlight w:val="none"/>
        </w:rPr>
      </w:pPr>
      <w:r>
        <w:rPr>
          <w:rFonts w:hint="eastAsia" w:hAnsi="宋体"/>
          <w:sz w:val="24"/>
          <w:szCs w:val="24"/>
          <w:highlight w:val="none"/>
          <w:lang w:val="en-US" w:eastAsia="zh-CN"/>
        </w:rPr>
        <w:t>(3)</w:t>
      </w:r>
      <w:r>
        <w:rPr>
          <w:rFonts w:hint="eastAsia" w:hAnsi="宋体"/>
          <w:sz w:val="24"/>
          <w:szCs w:val="24"/>
          <w:highlight w:val="none"/>
        </w:rPr>
        <w:t>蝇密度控制水平A级</w:t>
      </w:r>
    </w:p>
    <w:p>
      <w:pPr>
        <w:pStyle w:val="16"/>
        <w:snapToGrid w:val="0"/>
        <w:spacing w:before="120" w:after="120" w:line="360" w:lineRule="auto"/>
        <w:ind w:left="315" w:firstLine="360" w:firstLineChars="150"/>
        <w:rPr>
          <w:rFonts w:hint="eastAsia" w:hAnsi="宋体"/>
          <w:sz w:val="24"/>
          <w:szCs w:val="24"/>
          <w:highlight w:val="none"/>
        </w:rPr>
      </w:pPr>
      <w:r>
        <w:rPr>
          <w:rFonts w:hint="eastAsia" w:hAnsi="宋体"/>
          <w:sz w:val="24"/>
          <w:szCs w:val="24"/>
          <w:highlight w:val="none"/>
        </w:rPr>
        <w:t>防蝇设施合格率≥98%；</w:t>
      </w:r>
    </w:p>
    <w:p>
      <w:pPr>
        <w:pStyle w:val="16"/>
        <w:snapToGrid w:val="0"/>
        <w:spacing w:before="120" w:after="120" w:line="360" w:lineRule="auto"/>
        <w:ind w:left="361" w:hanging="408" w:hangingChars="170"/>
        <w:rPr>
          <w:rFonts w:hint="eastAsia" w:hAnsi="宋体"/>
          <w:sz w:val="24"/>
          <w:szCs w:val="24"/>
          <w:highlight w:val="none"/>
        </w:rPr>
      </w:pPr>
      <w:r>
        <w:rPr>
          <w:rFonts w:hint="eastAsia" w:hAnsi="宋体"/>
          <w:sz w:val="24"/>
          <w:szCs w:val="24"/>
          <w:highlight w:val="none"/>
        </w:rPr>
        <w:t xml:space="preserve">      生产销售直接入口食品的场所不得有蝇，室内不得存在蝇类孳生地；</w:t>
      </w:r>
    </w:p>
    <w:p>
      <w:pPr>
        <w:pStyle w:val="16"/>
        <w:snapToGrid w:val="0"/>
        <w:spacing w:before="120" w:after="120" w:line="360" w:lineRule="auto"/>
        <w:ind w:left="315" w:leftChars="150" w:firstLine="360" w:firstLineChars="150"/>
        <w:rPr>
          <w:rFonts w:hint="eastAsia" w:hAnsi="宋体"/>
          <w:sz w:val="24"/>
          <w:szCs w:val="24"/>
          <w:highlight w:val="none"/>
        </w:rPr>
      </w:pPr>
      <w:r>
        <w:rPr>
          <w:rFonts w:hint="eastAsia" w:hAnsi="宋体"/>
          <w:sz w:val="24"/>
          <w:szCs w:val="24"/>
          <w:highlight w:val="none"/>
        </w:rPr>
        <w:t>室内有蝇房间阳性率≤3%，阳性间蝇密度≤3只/间；室外蝇类孳生地阳性率≤1%；</w:t>
      </w:r>
    </w:p>
    <w:p>
      <w:pPr>
        <w:pStyle w:val="16"/>
        <w:snapToGrid w:val="0"/>
        <w:spacing w:before="120" w:after="120" w:line="360" w:lineRule="auto"/>
        <w:ind w:left="361" w:hanging="408" w:hangingChars="170"/>
        <w:rPr>
          <w:rFonts w:hint="eastAsia" w:hAnsi="宋体"/>
          <w:sz w:val="24"/>
          <w:szCs w:val="24"/>
          <w:highlight w:val="none"/>
        </w:rPr>
      </w:pPr>
      <w:r>
        <w:rPr>
          <w:rFonts w:hint="eastAsia" w:hAnsi="宋体"/>
          <w:sz w:val="24"/>
          <w:szCs w:val="24"/>
          <w:highlight w:val="none"/>
        </w:rPr>
        <w:t>　　</w:t>
      </w:r>
      <w:r>
        <w:rPr>
          <w:rFonts w:hint="eastAsia" w:hAnsi="宋体"/>
          <w:sz w:val="24"/>
          <w:szCs w:val="24"/>
          <w:highlight w:val="none"/>
          <w:lang w:val="en-US" w:eastAsia="zh-CN"/>
        </w:rPr>
        <w:t>(4)</w:t>
      </w:r>
      <w:r>
        <w:rPr>
          <w:rFonts w:hint="eastAsia" w:hAnsi="宋体"/>
          <w:sz w:val="24"/>
          <w:szCs w:val="24"/>
          <w:highlight w:val="none"/>
        </w:rPr>
        <w:t>蟑螂密度控制水平A级</w:t>
      </w:r>
    </w:p>
    <w:p>
      <w:pPr>
        <w:spacing w:line="360" w:lineRule="auto"/>
        <w:rPr>
          <w:rFonts w:hint="eastAsia" w:hAnsi="宋体"/>
          <w:sz w:val="24"/>
          <w:szCs w:val="24"/>
          <w:highlight w:val="none"/>
        </w:rPr>
      </w:pPr>
      <w:r>
        <w:rPr>
          <w:rFonts w:hint="eastAsia" w:hAnsi="宋体"/>
          <w:sz w:val="24"/>
          <w:szCs w:val="24"/>
          <w:highlight w:val="none"/>
        </w:rPr>
        <w:t xml:space="preserve">      蜚蠊成若虫侵害率≤1%，平均每阳性间（处）成若虫数小蠊≤5只，大蠊≤2只；</w:t>
      </w:r>
    </w:p>
    <w:p>
      <w:pPr>
        <w:spacing w:line="360" w:lineRule="auto"/>
        <w:ind w:firstLine="720" w:firstLineChars="300"/>
        <w:rPr>
          <w:rFonts w:hint="eastAsia" w:hAnsi="宋体"/>
          <w:sz w:val="24"/>
          <w:szCs w:val="24"/>
          <w:highlight w:val="none"/>
        </w:rPr>
      </w:pPr>
      <w:r>
        <w:rPr>
          <w:rFonts w:hint="eastAsia" w:hAnsi="宋体"/>
          <w:sz w:val="24"/>
          <w:szCs w:val="24"/>
          <w:highlight w:val="none"/>
        </w:rPr>
        <w:t>蟑螂卵鞘密度查获率≤1%，平均每阳性间（处）卵鞘数≤2只/间）；</w:t>
      </w:r>
    </w:p>
    <w:p>
      <w:pPr>
        <w:spacing w:line="400" w:lineRule="exact"/>
        <w:ind w:firstLine="720" w:firstLineChars="300"/>
        <w:rPr>
          <w:rFonts w:hint="default"/>
          <w:highlight w:val="none"/>
          <w:lang w:val="en-US" w:eastAsia="zh-CN"/>
        </w:rPr>
      </w:pPr>
      <w:r>
        <w:rPr>
          <w:rFonts w:hint="eastAsia" w:hAnsi="宋体"/>
          <w:sz w:val="24"/>
          <w:szCs w:val="24"/>
          <w:highlight w:val="none"/>
        </w:rPr>
        <w:t>蟑迹查获率≤3%</w:t>
      </w:r>
      <w:r>
        <w:rPr>
          <w:rFonts w:hint="eastAsia" w:hAnsi="宋体" w:cs="宋体"/>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2.</w:t>
      </w:r>
      <w:r>
        <w:rPr>
          <w:rFonts w:hint="eastAsia"/>
          <w:sz w:val="24"/>
          <w:szCs w:val="24"/>
          <w:highlight w:val="none"/>
          <w:lang w:val="en-US" w:eastAsia="zh-CN"/>
        </w:rPr>
        <w:t>群众</w:t>
      </w:r>
      <w:r>
        <w:rPr>
          <w:rFonts w:hint="eastAsia"/>
          <w:sz w:val="24"/>
          <w:szCs w:val="24"/>
          <w:highlight w:val="none"/>
        </w:rPr>
        <w:t>满意率达90%（含）以上；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highlight w:val="none"/>
          <w:lang w:eastAsia="zh-CN"/>
        </w:rPr>
      </w:pPr>
      <w:r>
        <w:rPr>
          <w:rFonts w:hint="eastAsia"/>
          <w:sz w:val="24"/>
          <w:szCs w:val="24"/>
          <w:highlight w:val="none"/>
        </w:rPr>
        <w:t>3.</w:t>
      </w:r>
      <w:r>
        <w:rPr>
          <w:rFonts w:hint="eastAsia" w:eastAsia="宋体"/>
          <w:sz w:val="24"/>
          <w:szCs w:val="24"/>
          <w:highlight w:val="none"/>
        </w:rPr>
        <w:t>确保病媒生物防制工作</w:t>
      </w:r>
      <w:r>
        <w:rPr>
          <w:rFonts w:hint="eastAsia" w:eastAsia="宋体"/>
          <w:sz w:val="24"/>
          <w:szCs w:val="24"/>
          <w:highlight w:val="none"/>
          <w:lang w:val="en-US" w:eastAsia="zh-CN"/>
        </w:rPr>
        <w:t>通过县城区病媒生物B级复评</w:t>
      </w:r>
      <w:r>
        <w:rPr>
          <w:rFonts w:hint="eastAsia" w:eastAsia="宋体"/>
          <w:sz w:val="24"/>
          <w:szCs w:val="24"/>
          <w:highlight w:val="none"/>
        </w:rPr>
        <w:t>和</w:t>
      </w:r>
      <w:r>
        <w:rPr>
          <w:rFonts w:hint="eastAsia"/>
          <w:sz w:val="24"/>
          <w:szCs w:val="24"/>
          <w:highlight w:val="none"/>
          <w:lang w:val="en-US" w:eastAsia="zh-CN"/>
        </w:rPr>
        <w:t>街道</w:t>
      </w:r>
      <w:r>
        <w:rPr>
          <w:rFonts w:hint="eastAsia" w:eastAsia="宋体"/>
          <w:sz w:val="24"/>
          <w:szCs w:val="24"/>
          <w:highlight w:val="none"/>
        </w:rPr>
        <w:t>病媒生物</w:t>
      </w:r>
      <w:r>
        <w:rPr>
          <w:rFonts w:hint="eastAsia"/>
          <w:sz w:val="24"/>
          <w:szCs w:val="24"/>
          <w:highlight w:val="none"/>
          <w:lang w:val="en-US" w:eastAsia="zh-CN"/>
        </w:rPr>
        <w:t>A级持续巩固</w:t>
      </w:r>
      <w:r>
        <w:rPr>
          <w:rFonts w:hint="eastAsia" w:eastAsia="宋体"/>
          <w:sz w:val="24"/>
          <w:szCs w:val="24"/>
          <w:highlight w:val="none"/>
        </w:rPr>
        <w:t>，在上级检查中不失责任分。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1"/>
        <w:rPr>
          <w:rFonts w:hint="eastAsia"/>
          <w:b/>
          <w:bCs/>
          <w:sz w:val="24"/>
          <w:szCs w:val="24"/>
          <w:highlight w:val="none"/>
        </w:rPr>
      </w:pPr>
      <w:r>
        <w:rPr>
          <w:rFonts w:hint="eastAsia"/>
          <w:b/>
          <w:bCs/>
          <w:sz w:val="24"/>
          <w:szCs w:val="24"/>
          <w:highlight w:val="none"/>
          <w:lang w:val="en-US" w:eastAsia="zh-CN"/>
        </w:rPr>
        <w:t>七</w:t>
      </w:r>
      <w:r>
        <w:rPr>
          <w:rFonts w:hint="eastAsia"/>
          <w:b/>
          <w:bCs/>
          <w:sz w:val="24"/>
          <w:szCs w:val="24"/>
          <w:highlight w:val="none"/>
        </w:rPr>
        <w:t>、考核要求：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sz w:val="24"/>
          <w:szCs w:val="24"/>
          <w:highlight w:val="none"/>
          <w:lang w:val="en-US" w:eastAsia="zh-CN"/>
        </w:rPr>
      </w:pPr>
      <w:r>
        <w:rPr>
          <w:rFonts w:hint="eastAsia"/>
          <w:sz w:val="24"/>
          <w:szCs w:val="24"/>
          <w:highlight w:val="none"/>
          <w:lang w:val="en-US" w:eastAsia="zh-CN"/>
        </w:rPr>
        <w:t>1.根据考核内容（具体考核内容详见附件），街道爱卫办每季度抽查一次承包区内蚊蝇鼠消杀情况和孳生地控制情况，每年组织一次年终综合考核。社区每月一次日常巡查，日常巡查有害生物防制服务单位对窨井、垃圾箱等处成蝇、成蚊控制情况，本辖区内的消杀工作进行现场检查核实。在4月、11月鼠类繁殖高峰，5～6月、9～10月蚊蝇繁殖高峰时节，街道爱卫办联合社区要增加检查频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sz w:val="24"/>
          <w:szCs w:val="24"/>
          <w:highlight w:val="none"/>
          <w:lang w:val="en-US" w:eastAsia="zh-CN"/>
        </w:rPr>
      </w:pPr>
      <w:r>
        <w:rPr>
          <w:rFonts w:hint="eastAsia"/>
          <w:sz w:val="24"/>
          <w:szCs w:val="24"/>
          <w:highlight w:val="none"/>
          <w:lang w:val="en-US" w:eastAsia="zh-CN"/>
        </w:rPr>
        <w:t>2.群众满意度调查：根据《公共环境病媒生物防制工作群众调查表》，每季至少调查访问100名居民（其中街道爱卫办访问20名，每个社区访问15名），听取、收集居民意见，以了解群众的满意度。</w:t>
      </w:r>
    </w:p>
    <w:p>
      <w:pPr>
        <w:pStyle w:val="16"/>
        <w:spacing w:line="360" w:lineRule="auto"/>
        <w:ind w:firstLine="410" w:firstLineChars="171"/>
        <w:jc w:val="left"/>
        <w:rPr>
          <w:rFonts w:hint="eastAsia" w:ascii="Times New Roman" w:hAnsi="Times New Roman" w:eastAsia="宋体" w:cs="Times New Roman"/>
          <w:kern w:val="0"/>
          <w:sz w:val="24"/>
          <w:szCs w:val="24"/>
          <w:highlight w:val="none"/>
          <w:lang w:val="en-US" w:eastAsia="zh-CN" w:bidi="ar-SA"/>
        </w:rPr>
      </w:pPr>
      <w:r>
        <w:rPr>
          <w:rFonts w:hint="eastAsia"/>
          <w:sz w:val="24"/>
          <w:szCs w:val="24"/>
          <w:highlight w:val="none"/>
          <w:lang w:val="en-US" w:eastAsia="zh-CN"/>
        </w:rPr>
        <w:t>3.</w:t>
      </w:r>
      <w:r>
        <w:rPr>
          <w:rFonts w:hint="eastAsia" w:ascii="Times New Roman" w:hAnsi="Times New Roman" w:cs="Times New Roman"/>
          <w:kern w:val="0"/>
          <w:sz w:val="24"/>
          <w:szCs w:val="24"/>
          <w:highlight w:val="none"/>
          <w:lang w:val="en-US" w:eastAsia="zh-CN" w:bidi="ar-SA"/>
        </w:rPr>
        <w:t>付款方式</w:t>
      </w:r>
      <w:r>
        <w:rPr>
          <w:rFonts w:hint="eastAsia" w:ascii="Times New Roman" w:hAnsi="Times New Roman" w:eastAsia="宋体" w:cs="Times New Roman"/>
          <w:kern w:val="0"/>
          <w:sz w:val="24"/>
          <w:szCs w:val="24"/>
          <w:highlight w:val="none"/>
          <w:lang w:val="en-US" w:eastAsia="zh-CN" w:bidi="ar-SA"/>
        </w:rPr>
        <w:t>：根据工作实绩进行考核，灭鼠、灭蝇、灭蚊现场技术考核结果占总分值（100分）的60%，日常工作检查结果占20%，群众满意度调查结果占20%，以考核结果按季核发经费。对于达到质量要求的项目，每季全额支付；如乙方未按实施方案、技术方案要求执行, 未达到质量要求的项目，</w:t>
      </w:r>
      <w:r>
        <w:rPr>
          <w:rFonts w:hint="eastAsia" w:ascii="Times New Roman" w:hAnsi="Times New Roman" w:cs="Times New Roman"/>
          <w:kern w:val="0"/>
          <w:sz w:val="24"/>
          <w:szCs w:val="24"/>
          <w:highlight w:val="none"/>
          <w:lang w:val="en-US" w:eastAsia="zh-CN" w:bidi="ar-SA"/>
        </w:rPr>
        <w:t>或在甲方上级检查时影响甲方成绩的，</w:t>
      </w:r>
      <w:r>
        <w:rPr>
          <w:rFonts w:hint="eastAsia" w:ascii="Times New Roman" w:hAnsi="Times New Roman" w:eastAsia="宋体" w:cs="Times New Roman"/>
          <w:kern w:val="0"/>
          <w:sz w:val="24"/>
          <w:szCs w:val="24"/>
          <w:highlight w:val="none"/>
          <w:lang w:val="en-US" w:eastAsia="zh-CN" w:bidi="ar-SA"/>
        </w:rPr>
        <w:t>甲方即时提出警告、限期改正，在限期内整改落实后，</w:t>
      </w:r>
      <w:r>
        <w:rPr>
          <w:rFonts w:hint="eastAsia" w:ascii="Times New Roman" w:hAnsi="Times New Roman" w:cs="Times New Roman"/>
          <w:kern w:val="0"/>
          <w:sz w:val="24"/>
          <w:szCs w:val="24"/>
          <w:highlight w:val="none"/>
          <w:lang w:val="en-US" w:eastAsia="zh-CN" w:bidi="ar-SA"/>
        </w:rPr>
        <w:t>按每季原定金额的80%支付</w:t>
      </w:r>
      <w:r>
        <w:rPr>
          <w:rFonts w:hint="eastAsia" w:ascii="Times New Roman" w:hAnsi="Times New Roman" w:eastAsia="宋体" w:cs="Times New Roman"/>
          <w:kern w:val="0"/>
          <w:sz w:val="24"/>
          <w:szCs w:val="24"/>
          <w:highlight w:val="none"/>
          <w:lang w:val="en-US" w:eastAsia="zh-CN" w:bidi="ar-SA"/>
        </w:rPr>
        <w:t>；若经警告后未在限期内改正，或中标方中途自行退出，或确认其不能达到要求的,甲方可即时与乙方解除合同。若因乙方原因导致进入年度考核黑榜，则不得参加下年度投标。</w:t>
      </w:r>
    </w:p>
    <w:p>
      <w:pPr>
        <w:pStyle w:val="16"/>
        <w:spacing w:line="360" w:lineRule="auto"/>
        <w:ind w:firstLine="410" w:firstLineChars="171"/>
        <w:jc w:val="left"/>
        <w:rPr>
          <w:rFonts w:hint="eastAsia" w:ascii="Times New Roman" w:hAnsi="Times New Roman" w:eastAsia="宋体" w:cs="Times New Roman"/>
          <w:kern w:val="0"/>
          <w:sz w:val="24"/>
          <w:szCs w:val="24"/>
          <w:highlight w:val="none"/>
          <w:lang w:val="en-US" w:eastAsia="zh-CN" w:bidi="ar-SA"/>
        </w:rPr>
      </w:pPr>
      <w:r>
        <w:rPr>
          <w:rFonts w:hint="eastAsia" w:ascii="Times New Roman" w:hAnsi="Times New Roman" w:cs="Times New Roman"/>
          <w:kern w:val="0"/>
          <w:sz w:val="24"/>
          <w:szCs w:val="24"/>
          <w:highlight w:val="none"/>
          <w:lang w:val="en-US" w:eastAsia="zh-CN" w:bidi="ar-SA"/>
        </w:rPr>
        <w:t>4</w:t>
      </w:r>
      <w:r>
        <w:rPr>
          <w:rFonts w:hint="eastAsia" w:ascii="Times New Roman" w:hAnsi="Times New Roman" w:eastAsia="宋体" w:cs="Times New Roman"/>
          <w:kern w:val="0"/>
          <w:sz w:val="24"/>
          <w:szCs w:val="24"/>
          <w:highlight w:val="none"/>
          <w:lang w:val="en-US" w:eastAsia="zh-CN" w:bidi="ar-SA"/>
        </w:rPr>
        <w:t>.</w:t>
      </w:r>
      <w:r>
        <w:rPr>
          <w:rFonts w:hint="eastAsia"/>
          <w:sz w:val="24"/>
          <w:szCs w:val="24"/>
          <w:highlight w:val="none"/>
          <w:lang w:val="en-US" w:eastAsia="zh-CN"/>
        </w:rPr>
        <w:t>县爱卫办每年4-11月对各个镇（街道）BI（布雷图）指数进行监测评价，对检测结果得分排名，在本年度综合排名为末尾排名的，在第四季度付款时扣除中标合同金额中消杀金额的5%。</w:t>
      </w:r>
    </w:p>
    <w:p>
      <w:pPr>
        <w:pStyle w:val="16"/>
        <w:spacing w:line="360" w:lineRule="auto"/>
        <w:ind w:firstLine="410" w:firstLineChars="171"/>
        <w:jc w:val="left"/>
        <w:rPr>
          <w:rFonts w:hint="default"/>
          <w:sz w:val="24"/>
          <w:szCs w:val="24"/>
          <w:highlight w:val="none"/>
          <w:lang w:val="en-US" w:eastAsia="zh-CN"/>
        </w:rPr>
      </w:pPr>
      <w:r>
        <w:rPr>
          <w:rFonts w:hint="eastAsia"/>
          <w:sz w:val="24"/>
          <w:szCs w:val="24"/>
          <w:highlight w:val="none"/>
          <w:lang w:val="en-US" w:eastAsia="zh-CN"/>
        </w:rPr>
        <w:t>5.</w:t>
      </w:r>
      <w:r>
        <w:rPr>
          <w:rFonts w:hint="eastAsia" w:ascii="Times New Roman" w:hAnsi="Times New Roman" w:eastAsia="宋体" w:cs="Times New Roman"/>
          <w:kern w:val="0"/>
          <w:sz w:val="24"/>
          <w:szCs w:val="24"/>
          <w:highlight w:val="none"/>
          <w:lang w:val="en-US" w:eastAsia="zh-CN" w:bidi="ar-SA"/>
        </w:rPr>
        <w:t>经费核发：第一、二季度在预付款中按考核后的支付金额扣除，第三季度按考核后的支付金额在扣除预付款后不够的部分转账支付，第四季度根据年终综合考核结果进行转账支付。</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sz w:val="24"/>
          <w:szCs w:val="24"/>
          <w:highlight w:val="none"/>
          <w:lang w:val="en-US" w:eastAsia="zh-CN"/>
        </w:rPr>
      </w:pPr>
      <w:r>
        <w:rPr>
          <w:rFonts w:hint="eastAsia"/>
          <w:b/>
          <w:bCs/>
          <w:sz w:val="24"/>
          <w:szCs w:val="24"/>
          <w:highlight w:val="none"/>
          <w:lang w:val="en-US" w:eastAsia="zh-CN"/>
        </w:rPr>
        <w:t>八</w:t>
      </w:r>
      <w:r>
        <w:rPr>
          <w:rFonts w:hint="eastAsia"/>
          <w:b/>
          <w:bCs/>
          <w:sz w:val="24"/>
          <w:szCs w:val="24"/>
          <w:highlight w:val="none"/>
        </w:rPr>
        <w:t>、风险承担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1、采购人会同西塘桥街道爱卫办将对病媒生物防制服务质量进行全过程监控，供应商工作人员日常工作不到位、不达标、或有违约现象，将依据合同约定，作出相应的违约处理与处罚。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2、供应商未按质量要求执行，采购人可以书面形式提出警告；若情节严重，确认中标人未达到合同规定的质量要求的，即时终止合同。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3、供应商工作人员在岗履行工作职责期间，发生自身的人身伤害、伤亡，由中标人负责处理并承担经济和道义上的责任，采购人不承担任何责任。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4、供应商违反国家相关法规，与聘用人员发生纠纷，均由中标人负责凋解与处理，采购人不承担任何责任。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5、供应商在病媒生物防制服务中违反国家相关法规或行业规范，因过失造成</w:t>
      </w:r>
      <w:r>
        <w:rPr>
          <w:rFonts w:hint="eastAsia"/>
          <w:sz w:val="24"/>
          <w:szCs w:val="24"/>
          <w:highlight w:val="none"/>
          <w:lang w:val="en-US" w:eastAsia="zh-CN"/>
        </w:rPr>
        <w:t>人、禽中毒责任事件</w:t>
      </w:r>
      <w:r>
        <w:rPr>
          <w:rFonts w:hint="eastAsia"/>
          <w:sz w:val="24"/>
          <w:szCs w:val="24"/>
          <w:highlight w:val="none"/>
        </w:rPr>
        <w:t>，均由供应商负责处理并承担经济和道义上的责任，采购人不承担任何责任。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eastAsia="宋体"/>
          <w:b w:val="0"/>
          <w:bCs w:val="0"/>
          <w:highlight w:val="none"/>
          <w:lang w:val="en-US" w:eastAsia="zh-CN"/>
        </w:rPr>
      </w:pPr>
      <w:r>
        <w:rPr>
          <w:rFonts w:hint="eastAsia"/>
          <w:b w:val="0"/>
          <w:bCs w:val="0"/>
          <w:sz w:val="24"/>
          <w:szCs w:val="24"/>
          <w:highlight w:val="none"/>
          <w:lang w:val="en-US" w:eastAsia="zh-CN"/>
        </w:rPr>
        <w:t>6、中标后，供应商不得转包；如转包，立即解除合同。</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1"/>
        <w:rPr>
          <w:rFonts w:hAnsi="宋体"/>
          <w:b/>
          <w:sz w:val="24"/>
          <w:szCs w:val="24"/>
          <w:highlight w:val="none"/>
        </w:rPr>
      </w:pPr>
      <w:bookmarkStart w:id="10" w:name="_Toc26868"/>
      <w:r>
        <w:rPr>
          <w:rFonts w:hint="eastAsia" w:hAnsi="宋体"/>
          <w:b/>
          <w:sz w:val="24"/>
          <w:szCs w:val="24"/>
          <w:highlight w:val="none"/>
        </w:rPr>
        <w:t>八、</w:t>
      </w:r>
      <w:r>
        <w:rPr>
          <w:rFonts w:hAnsi="宋体"/>
          <w:b/>
          <w:sz w:val="24"/>
          <w:szCs w:val="24"/>
          <w:highlight w:val="none"/>
        </w:rPr>
        <w:t>商务</w:t>
      </w:r>
      <w:r>
        <w:rPr>
          <w:rFonts w:hint="eastAsia" w:ascii="Times New Roman" w:hAnsi="Times New Roman" w:eastAsia="宋体" w:cs="Times New Roman"/>
          <w:b/>
          <w:bCs/>
          <w:sz w:val="24"/>
          <w:szCs w:val="24"/>
          <w:highlight w:val="none"/>
        </w:rPr>
        <w:t>资信</w:t>
      </w:r>
      <w:r>
        <w:rPr>
          <w:rFonts w:hAnsi="宋体"/>
          <w:b/>
          <w:sz w:val="24"/>
          <w:szCs w:val="24"/>
          <w:highlight w:val="none"/>
        </w:rPr>
        <w:t>要求</w:t>
      </w:r>
      <w:r>
        <w:rPr>
          <w:rFonts w:hint="eastAsia" w:hAnsi="宋体"/>
          <w:b/>
          <w:sz w:val="24"/>
          <w:szCs w:val="24"/>
          <w:highlight w:val="none"/>
        </w:rPr>
        <w:t>表</w:t>
      </w:r>
    </w:p>
    <w:tbl>
      <w:tblPr>
        <w:tblStyle w:val="27"/>
        <w:tblW w:w="878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73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pStyle w:val="16"/>
              <w:snapToGrid w:val="0"/>
              <w:spacing w:before="120" w:after="120"/>
              <w:rPr>
                <w:rFonts w:hAnsi="宋体"/>
                <w:sz w:val="24"/>
                <w:szCs w:val="24"/>
                <w:highlight w:val="none"/>
              </w:rPr>
            </w:pPr>
            <w:r>
              <w:rPr>
                <w:rFonts w:hint="eastAsia" w:hAnsi="宋体"/>
                <w:sz w:val="24"/>
                <w:szCs w:val="24"/>
                <w:highlight w:val="none"/>
              </w:rPr>
              <w:t>服务时间及地点</w:t>
            </w:r>
          </w:p>
        </w:tc>
        <w:tc>
          <w:tcPr>
            <w:tcW w:w="7349"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val="0"/>
              <w:spacing w:before="120" w:after="120"/>
              <w:ind w:firstLine="480" w:firstLineChars="200"/>
              <w:textAlignment w:val="auto"/>
              <w:rPr>
                <w:rFonts w:hAnsi="宋体"/>
                <w:sz w:val="24"/>
                <w:szCs w:val="24"/>
                <w:highlight w:val="none"/>
              </w:rPr>
            </w:pPr>
            <w:r>
              <w:rPr>
                <w:rFonts w:hint="eastAsia" w:hAnsi="宋体"/>
                <w:sz w:val="24"/>
                <w:szCs w:val="24"/>
                <w:highlight w:val="none"/>
              </w:rPr>
              <w:t>服务时间:根据实际情况，采购人安排的时间，详情在合同中规定。</w:t>
            </w:r>
          </w:p>
          <w:p>
            <w:pPr>
              <w:pStyle w:val="16"/>
              <w:keepNext w:val="0"/>
              <w:keepLines w:val="0"/>
              <w:pageBreakBefore w:val="0"/>
              <w:widowControl w:val="0"/>
              <w:kinsoku/>
              <w:wordWrap/>
              <w:overflowPunct/>
              <w:topLinePunct w:val="0"/>
              <w:autoSpaceDE/>
              <w:autoSpaceDN/>
              <w:bidi w:val="0"/>
              <w:adjustRightInd/>
              <w:snapToGrid w:val="0"/>
              <w:spacing w:before="120" w:after="120"/>
              <w:ind w:firstLine="480" w:firstLineChars="200"/>
              <w:textAlignment w:val="auto"/>
              <w:rPr>
                <w:rFonts w:hAnsi="宋体"/>
                <w:sz w:val="24"/>
                <w:szCs w:val="24"/>
                <w:highlight w:val="none"/>
              </w:rPr>
            </w:pPr>
            <w:r>
              <w:rPr>
                <w:rFonts w:hint="eastAsia" w:hAnsi="宋体"/>
                <w:sz w:val="24"/>
                <w:szCs w:val="24"/>
                <w:highlight w:val="none"/>
              </w:rPr>
              <w:t>服务地点：上文所含区域。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pStyle w:val="16"/>
              <w:snapToGrid w:val="0"/>
              <w:spacing w:before="120" w:after="120"/>
              <w:rPr>
                <w:rFonts w:hAnsi="宋体"/>
                <w:sz w:val="24"/>
                <w:szCs w:val="24"/>
                <w:highlight w:val="none"/>
              </w:rPr>
            </w:pPr>
            <w:r>
              <w:rPr>
                <w:rFonts w:hint="eastAsia" w:hAnsi="宋体"/>
                <w:sz w:val="24"/>
                <w:szCs w:val="24"/>
                <w:highlight w:val="none"/>
              </w:rPr>
              <w:t>付款条件</w:t>
            </w:r>
          </w:p>
        </w:tc>
        <w:tc>
          <w:tcPr>
            <w:tcW w:w="7349"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410" w:firstLineChars="171"/>
              <w:jc w:val="left"/>
              <w:rPr>
                <w:rFonts w:hAnsi="宋体"/>
                <w:sz w:val="24"/>
                <w:szCs w:val="24"/>
                <w:highlight w:val="none"/>
              </w:rPr>
            </w:pPr>
            <w:r>
              <w:rPr>
                <w:rFonts w:hint="eastAsia" w:hAnsi="宋体"/>
                <w:color w:val="auto"/>
                <w:sz w:val="24"/>
                <w:szCs w:val="24"/>
                <w:highlight w:val="none"/>
                <w:lang w:eastAsia="zh-CN"/>
              </w:rPr>
              <w:t>合同生效以及具备实施条件后7个工作日内支付签订合同后支付合同价的70％，</w:t>
            </w:r>
            <w:r>
              <w:rPr>
                <w:rFonts w:hint="eastAsia" w:ascii="Times New Roman" w:hAnsi="Times New Roman" w:eastAsia="宋体" w:cs="Times New Roman"/>
                <w:kern w:val="0"/>
                <w:sz w:val="24"/>
                <w:szCs w:val="24"/>
                <w:highlight w:val="none"/>
                <w:lang w:val="en-US" w:eastAsia="zh-CN" w:bidi="ar-SA"/>
              </w:rPr>
              <w:t>第一、二季度在预付款中按考核后的支付金额扣除，第三季度按考核后的支付金额在扣除预付款后不够的部分转账支付，第四季度根据年终综合考核结果进行转账支付。</w:t>
            </w:r>
          </w:p>
        </w:tc>
      </w:tr>
    </w:tbl>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1"/>
        <w:rPr>
          <w:rFonts w:hint="default" w:hAnsi="宋体" w:eastAsia="宋体"/>
          <w:b/>
          <w:sz w:val="24"/>
          <w:szCs w:val="24"/>
          <w:highlight w:val="none"/>
          <w:lang w:val="en-US" w:eastAsia="zh-CN"/>
        </w:rPr>
      </w:pPr>
      <w:r>
        <w:rPr>
          <w:rFonts w:hint="eastAsia" w:hAnsi="宋体"/>
          <w:b/>
          <w:sz w:val="24"/>
          <w:szCs w:val="24"/>
          <w:highlight w:val="none"/>
        </w:rPr>
        <w:t>九、与本</w:t>
      </w:r>
      <w:r>
        <w:rPr>
          <w:rFonts w:hint="eastAsia" w:ascii="Times New Roman" w:hAnsi="Times New Roman" w:eastAsia="宋体" w:cs="Times New Roman"/>
          <w:b/>
          <w:bCs/>
          <w:sz w:val="24"/>
          <w:szCs w:val="24"/>
          <w:highlight w:val="none"/>
        </w:rPr>
        <w:t>项目</w:t>
      </w:r>
      <w:r>
        <w:rPr>
          <w:rFonts w:hint="eastAsia" w:hAnsi="宋体"/>
          <w:b/>
          <w:sz w:val="24"/>
          <w:szCs w:val="24"/>
          <w:highlight w:val="none"/>
        </w:rPr>
        <w:t>有关的文件</w:t>
      </w:r>
      <w:r>
        <w:rPr>
          <w:rFonts w:hint="eastAsia" w:hAnsi="宋体"/>
          <w:b/>
          <w:sz w:val="24"/>
          <w:szCs w:val="24"/>
          <w:highlight w:val="none"/>
          <w:lang w:eastAsia="zh-CN"/>
        </w:rPr>
        <w:t>（</w:t>
      </w:r>
      <w:r>
        <w:rPr>
          <w:rFonts w:hint="eastAsia" w:hAnsi="宋体"/>
          <w:b/>
          <w:sz w:val="24"/>
          <w:szCs w:val="24"/>
          <w:highlight w:val="none"/>
          <w:lang w:val="en-US" w:eastAsia="zh-CN"/>
        </w:rPr>
        <w:t>未指定的样式另行指定</w:t>
      </w:r>
      <w:r>
        <w:rPr>
          <w:rFonts w:hint="eastAsia" w:hAnsi="宋体"/>
          <w:b/>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sz w:val="24"/>
          <w:szCs w:val="24"/>
          <w:highlight w:val="none"/>
          <w:lang w:val="en-US" w:eastAsia="zh-CN"/>
        </w:rPr>
      </w:pPr>
      <w:r>
        <w:rPr>
          <w:rFonts w:hint="eastAsia"/>
          <w:sz w:val="24"/>
          <w:szCs w:val="24"/>
          <w:highlight w:val="none"/>
          <w:lang w:val="en-US" w:eastAsia="zh-CN"/>
        </w:rPr>
        <w:t>附件1考核评估评分标准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lang w:val="en-US" w:eastAsia="zh-CN"/>
        </w:rPr>
        <w:t>附件2</w:t>
      </w:r>
      <w:r>
        <w:rPr>
          <w:rFonts w:hint="eastAsia"/>
          <w:sz w:val="24"/>
          <w:szCs w:val="24"/>
          <w:highlight w:val="none"/>
        </w:rPr>
        <w:t>病媒生物防制</w:t>
      </w:r>
      <w:r>
        <w:rPr>
          <w:rFonts w:hint="eastAsia"/>
          <w:sz w:val="24"/>
          <w:szCs w:val="24"/>
          <w:highlight w:val="none"/>
          <w:lang w:val="en-US" w:eastAsia="zh-CN"/>
        </w:rPr>
        <w:t>工作</w:t>
      </w:r>
      <w:r>
        <w:rPr>
          <w:rFonts w:hint="eastAsia"/>
          <w:sz w:val="24"/>
          <w:szCs w:val="24"/>
          <w:highlight w:val="none"/>
        </w:rPr>
        <w:t>消杀服务群众满意度调查表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lang w:val="en-US" w:eastAsia="zh-CN"/>
        </w:rPr>
        <w:t>附件3 社区公共环境</w:t>
      </w:r>
      <w:r>
        <w:rPr>
          <w:rFonts w:hint="eastAsia"/>
          <w:sz w:val="24"/>
          <w:szCs w:val="24"/>
          <w:highlight w:val="none"/>
        </w:rPr>
        <w:t>病媒生物防制</w:t>
      </w:r>
      <w:r>
        <w:rPr>
          <w:rFonts w:hint="eastAsia"/>
          <w:sz w:val="24"/>
          <w:szCs w:val="24"/>
          <w:highlight w:val="none"/>
          <w:lang w:val="en-US" w:eastAsia="zh-CN"/>
        </w:rPr>
        <w:t>工作</w:t>
      </w:r>
      <w:r>
        <w:rPr>
          <w:rFonts w:hint="eastAsia"/>
          <w:sz w:val="24"/>
          <w:szCs w:val="24"/>
          <w:highlight w:val="none"/>
        </w:rPr>
        <w:t>消杀服务现场检查记录表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附件4 各社区公共卫生环境基本情况表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附件5 西塘桥街道公共厕所明细表</w:t>
      </w:r>
    </w:p>
    <w:p>
      <w:pPr>
        <w:rPr>
          <w:rFonts w:hint="eastAsia"/>
          <w:sz w:val="24"/>
          <w:szCs w:val="24"/>
          <w:highlight w:val="none"/>
          <w:lang w:val="en-US" w:eastAsia="zh-CN"/>
        </w:rPr>
      </w:pPr>
      <w:r>
        <w:rPr>
          <w:rFonts w:hint="eastAsia"/>
          <w:sz w:val="24"/>
          <w:szCs w:val="24"/>
          <w:highlight w:val="none"/>
          <w:lang w:val="en-US" w:eastAsia="zh-CN"/>
        </w:rPr>
        <w:br w:type="page"/>
      </w:r>
    </w:p>
    <w:p>
      <w:pPr>
        <w:pStyle w:val="4"/>
        <w:jc w:val="both"/>
        <w:rPr>
          <w:rFonts w:hint="default"/>
          <w:sz w:val="24"/>
          <w:szCs w:val="24"/>
          <w:lang w:val="en-US" w:eastAsia="zh-CN"/>
        </w:rPr>
      </w:pPr>
      <w:r>
        <w:rPr>
          <w:rFonts w:hint="eastAsia"/>
          <w:sz w:val="24"/>
          <w:szCs w:val="24"/>
          <w:lang w:val="en-US" w:eastAsia="zh-CN"/>
        </w:rPr>
        <w:t>附件1</w:t>
      </w:r>
    </w:p>
    <w:p>
      <w:pPr>
        <w:spacing w:line="360" w:lineRule="auto"/>
        <w:ind w:firstLine="420"/>
        <w:jc w:val="center"/>
        <w:rPr>
          <w:rFonts w:ascii="微软雅黑" w:hAnsi="微软雅黑" w:eastAsia="微软雅黑" w:cs="微软雅黑"/>
          <w:b/>
          <w:sz w:val="30"/>
          <w:szCs w:val="30"/>
        </w:rPr>
      </w:pPr>
      <w:r>
        <w:rPr>
          <w:rFonts w:hint="eastAsia" w:ascii="微软雅黑" w:hAnsi="微软雅黑" w:eastAsia="微软雅黑" w:cs="微软雅黑"/>
          <w:b/>
          <w:sz w:val="30"/>
          <w:szCs w:val="30"/>
        </w:rPr>
        <w:t>现场考核评估评分标准</w:t>
      </w:r>
    </w:p>
    <w:p>
      <w:pPr>
        <w:pStyle w:val="16"/>
        <w:snapToGrid w:val="0"/>
        <w:spacing w:line="360" w:lineRule="auto"/>
        <w:ind w:left="357" w:hanging="408" w:hangingChars="170"/>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rPr>
        <w:t>一、</w:t>
      </w:r>
      <w:r>
        <w:rPr>
          <w:rFonts w:hint="eastAsia" w:ascii="微软雅黑" w:hAnsi="微软雅黑" w:eastAsia="微软雅黑" w:cs="微软雅黑"/>
          <w:b/>
          <w:sz w:val="24"/>
          <w:szCs w:val="24"/>
          <w:lang w:val="en-US" w:eastAsia="zh-CN"/>
        </w:rPr>
        <w:t>灭鼠</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lang w:val="en-US" w:eastAsia="zh-CN"/>
        </w:rPr>
        <w:t>25分</w:t>
      </w:r>
      <w:r>
        <w:rPr>
          <w:rFonts w:hint="eastAsia" w:ascii="微软雅黑" w:hAnsi="微软雅黑" w:eastAsia="微软雅黑" w:cs="微软雅黑"/>
          <w:b/>
          <w:sz w:val="24"/>
          <w:szCs w:val="24"/>
          <w:lang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before="120" w:after="120" w:line="360" w:lineRule="auto"/>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根据《中华人民共和国国家标准》（病媒生物密度控制水平 鼠类(GB/T 27770-2011)，达到鼠密度控制水平A级</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before="120" w:after="120" w:line="360" w:lineRule="auto"/>
        <w:ind w:firstLine="480" w:firstLineChars="200"/>
        <w:textAlignment w:val="auto"/>
        <w:rPr>
          <w:rFonts w:hint="eastAsia" w:ascii="微软雅黑" w:hAnsi="微软雅黑" w:eastAsia="微软雅黑" w:cs="微软雅黑"/>
          <w:highlight w:val="yellow"/>
        </w:rPr>
      </w:pPr>
      <w:r>
        <w:rPr>
          <w:rFonts w:hint="eastAsia" w:ascii="宋体" w:hAnsi="宋体" w:eastAsia="宋体"/>
          <w:sz w:val="24"/>
          <w:szCs w:val="24"/>
          <w:lang w:val="en-US" w:eastAsia="zh-CN"/>
        </w:rPr>
        <w:t>防鼠设施合格率≥97%； 室内鼠迹阳性率≤1%；   外环境鼠路径指数≤1。</w:t>
      </w:r>
    </w:p>
    <w:p>
      <w:pPr>
        <w:pStyle w:val="16"/>
        <w:snapToGrid w:val="0"/>
        <w:spacing w:line="360" w:lineRule="auto"/>
        <w:ind w:left="357" w:hanging="408" w:hangingChars="170"/>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rPr>
        <w:t>二、灭蚊</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lang w:val="en-US" w:eastAsia="zh-CN"/>
        </w:rPr>
        <w:t>15分</w:t>
      </w:r>
      <w:r>
        <w:rPr>
          <w:rFonts w:hint="eastAsia" w:ascii="微软雅黑" w:hAnsi="微软雅黑" w:eastAsia="微软雅黑" w:cs="微软雅黑"/>
          <w:b/>
          <w:sz w:val="24"/>
          <w:szCs w:val="24"/>
          <w:lang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before="120" w:after="120" w:line="360" w:lineRule="auto"/>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根据《中华人民共和国国家标准》（病媒生物密度控制水平 蚊虫(GB/T 27771-2011)，达到蚊密度控制水平A级</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before="120" w:after="120" w:line="360" w:lineRule="auto"/>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小型积水蚊虫路径指数≤0.1；大中型水体蚊虫采样勺指数≤1%，平均每阳性勺少于3只蚊幼虫和蛹；外环境蚊虫停落指数≤0.5。</w:t>
      </w:r>
    </w:p>
    <w:p>
      <w:pPr>
        <w:pStyle w:val="17"/>
        <w:rPr>
          <w:rFonts w:hint="eastAsia"/>
          <w:lang w:eastAsia="zh-CN"/>
        </w:rPr>
      </w:pPr>
    </w:p>
    <w:p>
      <w:pPr>
        <w:pStyle w:val="16"/>
        <w:snapToGrid w:val="0"/>
        <w:spacing w:line="360" w:lineRule="auto"/>
        <w:ind w:left="357" w:hanging="408" w:hangingChars="170"/>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rPr>
        <w:t>三、灭蝇</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lang w:val="en-US" w:eastAsia="zh-CN"/>
        </w:rPr>
        <w:t>20分</w:t>
      </w:r>
      <w:r>
        <w:rPr>
          <w:rFonts w:hint="eastAsia" w:ascii="微软雅黑" w:hAnsi="微软雅黑" w:eastAsia="微软雅黑" w:cs="微软雅黑"/>
          <w:b/>
          <w:sz w:val="24"/>
          <w:szCs w:val="24"/>
          <w:lang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before="120" w:after="120" w:line="360" w:lineRule="auto"/>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根据《中华人民共和国国家标准》（病媒生物密度控制水平 蝇类(GB/T 27772-2011)，达到蝇密度控制水平A级</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before="120" w:after="120" w:line="360" w:lineRule="auto"/>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防蝇设施合格率≥98%；生产销售直接入口食品的场所不得有蝇，室内不得存在蝇类孳生地；室内有蝇房间阳性率≤3%，阳性间蝇密度≤3只/间；室外蝇类孳生地阳性率≤1%；</w:t>
      </w:r>
    </w:p>
    <w:p>
      <w:pPr>
        <w:pStyle w:val="16"/>
        <w:snapToGrid w:val="0"/>
        <w:spacing w:line="360" w:lineRule="auto"/>
        <w:ind w:left="357" w:hanging="408" w:hangingChars="170"/>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rPr>
        <w:t>四、满意度调查</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lang w:val="en-US" w:eastAsia="zh-CN"/>
        </w:rPr>
        <w:t>20分</w:t>
      </w:r>
      <w:r>
        <w:rPr>
          <w:rFonts w:hint="eastAsia" w:ascii="微软雅黑" w:hAnsi="微软雅黑" w:eastAsia="微软雅黑" w:cs="微软雅黑"/>
          <w:b/>
          <w:sz w:val="24"/>
          <w:szCs w:val="24"/>
          <w:lang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before="120" w:after="120" w:line="360" w:lineRule="auto"/>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按问卷调查表平均分折分，满意率达90%及以上得满分20分；满意率每下降5%（不足5%按5%计算），扣2分，70%以下不得分。</w:t>
      </w:r>
    </w:p>
    <w:p>
      <w:pPr>
        <w:pStyle w:val="16"/>
        <w:snapToGrid w:val="0"/>
        <w:spacing w:line="360" w:lineRule="auto"/>
        <w:ind w:left="357" w:hanging="408" w:hangingChars="170"/>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rPr>
        <w:t>五、日常工作检查</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lang w:val="en-US" w:eastAsia="zh-CN"/>
        </w:rPr>
        <w:t>20分</w:t>
      </w:r>
      <w:r>
        <w:rPr>
          <w:rFonts w:hint="eastAsia" w:ascii="微软雅黑" w:hAnsi="微软雅黑" w:eastAsia="微软雅黑" w:cs="微软雅黑"/>
          <w:b/>
          <w:sz w:val="24"/>
          <w:szCs w:val="24"/>
          <w:lang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before="120" w:after="120" w:line="360" w:lineRule="auto"/>
        <w:ind w:firstLine="480" w:firstLineChars="200"/>
        <w:textAlignment w:val="auto"/>
        <w:rPr>
          <w:rFonts w:hint="eastAsia" w:ascii="宋体" w:hAnsi="宋体" w:eastAsia="宋体"/>
          <w:sz w:val="24"/>
          <w:szCs w:val="24"/>
          <w:lang w:val="en-US" w:eastAsia="zh-CN"/>
        </w:rPr>
        <w:sectPr>
          <w:footerReference r:id="rId9" w:type="first"/>
          <w:footerReference r:id="rId7" w:type="default"/>
          <w:footerReference r:id="rId8" w:type="even"/>
          <w:pgSz w:w="11906" w:h="16838"/>
          <w:pgMar w:top="1440" w:right="1797" w:bottom="1440" w:left="1797" w:header="851" w:footer="851" w:gutter="0"/>
          <w:cols w:space="720" w:num="1"/>
          <w:docGrid w:linePitch="312" w:charSpace="0"/>
        </w:sectPr>
      </w:pPr>
      <w:r>
        <w:rPr>
          <w:rFonts w:hint="eastAsia" w:hAnsi="宋体"/>
          <w:sz w:val="24"/>
          <w:szCs w:val="24"/>
          <w:lang w:val="en-US" w:eastAsia="zh-CN"/>
        </w:rPr>
        <w:t>各社区每月进行日常检查，</w:t>
      </w:r>
      <w:r>
        <w:rPr>
          <w:rFonts w:hint="eastAsia" w:ascii="宋体" w:hAnsi="宋体" w:eastAsia="宋体"/>
          <w:sz w:val="24"/>
          <w:szCs w:val="24"/>
          <w:lang w:val="en-US" w:eastAsia="zh-CN"/>
        </w:rPr>
        <w:t>根据日常检查结果，酌情扣分，满分20分。</w:t>
      </w:r>
    </w:p>
    <w:p>
      <w:pPr>
        <w:rPr>
          <w:rFonts w:hint="eastAsia"/>
          <w:b/>
          <w:lang w:val="en-US" w:eastAsia="zh-CN"/>
        </w:rPr>
      </w:pPr>
      <w:r>
        <w:rPr>
          <w:rFonts w:hint="eastAsia"/>
          <w:b/>
          <w:lang w:val="en-US" w:eastAsia="zh-CN"/>
        </w:rPr>
        <w:t>附件2</w:t>
      </w:r>
    </w:p>
    <w:p>
      <w:pPr>
        <w:rPr>
          <w:rFonts w:hint="eastAsia"/>
          <w:b/>
          <w:lang w:val="en-US" w:eastAsia="zh-CN"/>
        </w:rPr>
      </w:pPr>
    </w:p>
    <w:p>
      <w:pPr>
        <w:spacing w:line="400" w:lineRule="exact"/>
        <w:jc w:val="center"/>
        <w:rPr>
          <w:rFonts w:hint="eastAsia" w:ascii="宋体" w:hAnsi="宋体"/>
          <w:b/>
          <w:spacing w:val="30"/>
          <w:sz w:val="28"/>
        </w:rPr>
      </w:pPr>
      <w:r>
        <w:rPr>
          <w:rFonts w:hint="eastAsia" w:ascii="宋体" w:hAnsi="宋体"/>
          <w:b/>
          <w:spacing w:val="30"/>
          <w:sz w:val="28"/>
        </w:rPr>
        <w:t>病媒生物防制</w:t>
      </w:r>
      <w:r>
        <w:rPr>
          <w:rFonts w:hint="eastAsia" w:ascii="宋体" w:hAnsi="宋体"/>
          <w:b/>
          <w:spacing w:val="30"/>
          <w:sz w:val="28"/>
          <w:lang w:val="en-US" w:eastAsia="zh-CN"/>
        </w:rPr>
        <w:t>工作</w:t>
      </w:r>
      <w:r>
        <w:rPr>
          <w:rFonts w:hint="eastAsia" w:ascii="宋体" w:hAnsi="宋体"/>
          <w:b/>
          <w:spacing w:val="30"/>
          <w:sz w:val="28"/>
        </w:rPr>
        <w:t>消杀服务群众满意度调查表</w:t>
      </w:r>
    </w:p>
    <w:p>
      <w:pPr>
        <w:spacing w:line="400" w:lineRule="exact"/>
        <w:jc w:val="center"/>
        <w:rPr>
          <w:rFonts w:hint="eastAsia" w:ascii="宋体" w:hAnsi="宋体"/>
          <w:b/>
          <w:spacing w:val="30"/>
          <w:sz w:val="28"/>
        </w:rPr>
      </w:pPr>
    </w:p>
    <w:p>
      <w:pPr>
        <w:ind w:firstLine="424" w:firstLineChars="200"/>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西塘桥街道</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社区                                                        </w:t>
      </w:r>
    </w:p>
    <w:p>
      <w:pPr>
        <w:ind w:firstLine="424" w:firstLineChars="200"/>
        <w:rPr>
          <w:rFonts w:ascii="宋体" w:hAnsi="宋体"/>
          <w:szCs w:val="21"/>
        </w:rPr>
      </w:pPr>
      <w:r>
        <w:rPr>
          <w:rFonts w:ascii="宋体" w:hAnsi="宋体"/>
          <w:szCs w:val="21"/>
        </w:rPr>
        <mc:AlternateContent>
          <mc:Choice Requires="wps">
            <w:drawing>
              <wp:anchor distT="0" distB="0" distL="114300" distR="114300" simplePos="0" relativeHeight="251662336" behindDoc="0" locked="0" layoutInCell="1" allowOverlap="1">
                <wp:simplePos x="0" y="0"/>
                <wp:positionH relativeFrom="column">
                  <wp:posOffset>1127125</wp:posOffset>
                </wp:positionH>
                <wp:positionV relativeFrom="paragraph">
                  <wp:posOffset>16510</wp:posOffset>
                </wp:positionV>
                <wp:extent cx="830580" cy="11430"/>
                <wp:effectExtent l="0" t="4445" r="7620" b="12700"/>
                <wp:wrapNone/>
                <wp:docPr id="10" name="直接连接符 10"/>
                <wp:cNvGraphicFramePr/>
                <a:graphic xmlns:a="http://schemas.openxmlformats.org/drawingml/2006/main">
                  <a:graphicData uri="http://schemas.microsoft.com/office/word/2010/wordprocessingShape">
                    <wps:wsp>
                      <wps:cNvCnPr/>
                      <wps:spPr>
                        <a:xfrm>
                          <a:off x="0" y="0"/>
                          <a:ext cx="830580" cy="1143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8.75pt;margin-top:1.3pt;height:0.9pt;width:65.4pt;z-index:251662336;mso-width-relative:page;mso-height-relative:page;" filled="f" stroked="t" coordsize="21600,21600" o:gfxdata="UEsDBAoAAAAAAIdO4kAAAAAAAAAAAAAAAAAEAAAAZHJzL1BLAwQUAAAACACHTuJA2KyvMtUAAAAH&#10;AQAADwAAAGRycy9kb3ducmV2LnhtbE2OPU/DQBBEeyT+w2mRaCJyFzskkfE5BeCOhgBKu7E3toVv&#10;z/FdPuDXs1RQjmb05uXri+vVicbQebYwmxpQxJWvO24svL+VdytQISLX2HsmC18UYF1cX+WY1f7M&#10;r3TaxEYJhEOGFtoYh0zrULXkMEz9QCzd3o8Oo8Sx0fWIZ4G7XifGLLTDjuWhxYEeW6o+N0dnIZQf&#10;dCi/J9XEbNPGU3J4enlGa29vZuYBVKRL/BvDr76oQyFOO3/kOqhe8nJ5L1MLyQKU9KlZpaB2FuZz&#10;0EWu//sXP1BLAwQUAAAACACHTuJAySAZ9P4BAAD3AwAADgAAAGRycy9lMm9Eb2MueG1srVPNjtMw&#10;EL4j8Q6W7zRpl6ISNd3DluWCoBLwAFPHSSz5Tx63aV+CF0DiBieO3Hkblsdg7JSyLJceyMEZe2a+&#10;me/zeHl9MJrtZUDlbM2nk5IzaYVrlO1q/v7d7ZMFZxjBNqCdlTU/SuTXq8ePloOv5Mz1TjcyMAKx&#10;WA2+5n2MvioKFL00gBPnpSVn64KBSNvQFU2AgdCNLmZl+awYXGh8cEIi0ul6dPITYrgE0LWtEnLt&#10;xM5IG0fUIDVEooS98shXudu2lSK+aVuUkemaE9OYVypC9jatxWoJVRfA90qcWoBLWnjAyYCyVPQM&#10;tYYIbBfUP1BGieDQtXEinClGIlkRYjEtH2jztgcvMxeSGv1ZdPx/sOL1fhOYamgSSBILhm787uO3&#10;Hx8+//z+ida7r18YeUimwWNF0Td2E0479JuQOB/aYNKf2LBDlvZ4llYeIhN0uLgq5wuqIMg1nT69&#10;ypDFn1wfML6UzrBk1Fwrm4hDBftXGKkehf4OScfasqHmz+ezOUECTWFLt0+m8cQEbZdz0WnV3Cqt&#10;UwaGbnujA9tDmoT8JVaE+1dYKrIG7Me47BpnpJfQvLANi0dPEll6Gjy1YGTDmZb0kpJFgFBFUPqS&#10;SCqtbUqQeU5PPJPMo7DJ2rrmSPez80F1PekyzT0nD81D7v40u2ng7u/Jvv9e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KyvMtUAAAAHAQAADwAAAAAAAAABACAAAAAiAAAAZHJzL2Rvd25yZXYu&#10;eG1sUEsBAhQAFAAAAAgAh07iQMkgGfT+AQAA9wMAAA4AAAAAAAAAAQAgAAAAJAEAAGRycy9lMm9E&#10;b2MueG1sUEsFBgAAAAAGAAYAWQEAAJQFAAAAAA==&#10;">
                <v:fill on="f" focussize="0,0"/>
                <v:stroke color="#000000" joinstyle="round"/>
                <v:imagedata o:title=""/>
                <o:lock v:ext="edit" aspectratio="f"/>
              </v:line>
            </w:pict>
          </mc:Fallback>
        </mc:AlternateContent>
      </w:r>
    </w:p>
    <w:tbl>
      <w:tblPr>
        <w:tblStyle w:val="27"/>
        <w:tblW w:w="142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28"/>
        <w:gridCol w:w="2520"/>
        <w:gridCol w:w="2806"/>
        <w:gridCol w:w="26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28" w:type="dxa"/>
            <w:noWrap w:val="0"/>
            <w:vAlign w:val="center"/>
          </w:tcPr>
          <w:p>
            <w:pPr>
              <w:spacing w:line="360" w:lineRule="auto"/>
              <w:jc w:val="center"/>
              <w:rPr>
                <w:rFonts w:ascii="宋体" w:hAnsi="宋体"/>
                <w:szCs w:val="21"/>
              </w:rPr>
            </w:pPr>
            <w:r>
              <w:rPr>
                <w:rFonts w:hint="eastAsia" w:ascii="宋体" w:hAnsi="宋体"/>
                <w:szCs w:val="21"/>
              </w:rPr>
              <w:t>评价项目</w:t>
            </w:r>
          </w:p>
        </w:tc>
        <w:tc>
          <w:tcPr>
            <w:tcW w:w="7990" w:type="dxa"/>
            <w:gridSpan w:val="3"/>
            <w:noWrap w:val="0"/>
            <w:vAlign w:val="center"/>
          </w:tcPr>
          <w:p>
            <w:pPr>
              <w:spacing w:line="360" w:lineRule="auto"/>
              <w:jc w:val="center"/>
              <w:rPr>
                <w:rFonts w:ascii="宋体" w:hAnsi="宋体"/>
                <w:szCs w:val="21"/>
              </w:rPr>
            </w:pPr>
            <w:r>
              <w:rPr>
                <w:rFonts w:hint="eastAsia" w:ascii="宋体" w:hAnsi="宋体"/>
                <w:szCs w:val="21"/>
              </w:rPr>
              <w:t>评价结论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228" w:type="dxa"/>
            <w:noWrap w:val="0"/>
            <w:vAlign w:val="center"/>
          </w:tcPr>
          <w:p>
            <w:pPr>
              <w:spacing w:line="360" w:lineRule="auto"/>
              <w:jc w:val="center"/>
              <w:rPr>
                <w:rFonts w:ascii="宋体" w:hAnsi="宋体"/>
                <w:szCs w:val="21"/>
              </w:rPr>
            </w:pPr>
            <w:r>
              <w:rPr>
                <w:rFonts w:hint="eastAsia" w:ascii="宋体" w:hAnsi="宋体"/>
                <w:szCs w:val="21"/>
              </w:rPr>
              <w:t>灭鼠效果</w:t>
            </w:r>
          </w:p>
        </w:tc>
        <w:tc>
          <w:tcPr>
            <w:tcW w:w="2520" w:type="dxa"/>
            <w:noWrap w:val="0"/>
            <w:vAlign w:val="center"/>
          </w:tcPr>
          <w:p>
            <w:pPr>
              <w:spacing w:line="360" w:lineRule="auto"/>
              <w:jc w:val="center"/>
              <w:rPr>
                <w:rFonts w:ascii="宋体" w:hAnsi="宋体"/>
                <w:szCs w:val="21"/>
              </w:rPr>
            </w:pPr>
            <w:r>
              <w:rPr>
                <w:rFonts w:hint="eastAsia" w:ascii="宋体" w:hAnsi="宋体"/>
                <w:szCs w:val="21"/>
              </w:rPr>
              <w:t>好</w:t>
            </w:r>
          </w:p>
        </w:tc>
        <w:tc>
          <w:tcPr>
            <w:tcW w:w="2806" w:type="dxa"/>
            <w:noWrap w:val="0"/>
            <w:vAlign w:val="center"/>
          </w:tcPr>
          <w:p>
            <w:pPr>
              <w:spacing w:line="360" w:lineRule="auto"/>
              <w:jc w:val="center"/>
              <w:rPr>
                <w:rFonts w:ascii="宋体" w:hAnsi="宋体"/>
                <w:szCs w:val="21"/>
              </w:rPr>
            </w:pPr>
            <w:r>
              <w:rPr>
                <w:rFonts w:hint="eastAsia" w:ascii="宋体" w:hAnsi="宋体"/>
                <w:szCs w:val="21"/>
              </w:rPr>
              <w:t>一般</w:t>
            </w:r>
          </w:p>
        </w:tc>
        <w:tc>
          <w:tcPr>
            <w:tcW w:w="2664" w:type="dxa"/>
            <w:noWrap w:val="0"/>
            <w:vAlign w:val="center"/>
          </w:tcPr>
          <w:p>
            <w:pPr>
              <w:spacing w:line="360" w:lineRule="auto"/>
              <w:jc w:val="center"/>
              <w:rPr>
                <w:rFonts w:ascii="宋体" w:hAnsi="宋体"/>
                <w:szCs w:val="21"/>
              </w:rPr>
            </w:pPr>
            <w:r>
              <w:rPr>
                <w:rFonts w:hint="eastAsia" w:ascii="宋体" w:hAnsi="宋体"/>
                <w:szCs w:val="21"/>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228" w:type="dxa"/>
            <w:noWrap w:val="0"/>
            <w:vAlign w:val="center"/>
          </w:tcPr>
          <w:p>
            <w:pPr>
              <w:spacing w:line="360" w:lineRule="auto"/>
              <w:jc w:val="center"/>
              <w:rPr>
                <w:rFonts w:ascii="宋体" w:hAnsi="宋体"/>
                <w:szCs w:val="21"/>
              </w:rPr>
            </w:pPr>
            <w:r>
              <w:rPr>
                <w:rFonts w:hint="eastAsia" w:ascii="宋体" w:hAnsi="宋体"/>
                <w:szCs w:val="21"/>
              </w:rPr>
              <w:t>灭蚊效果</w:t>
            </w:r>
          </w:p>
        </w:tc>
        <w:tc>
          <w:tcPr>
            <w:tcW w:w="2520" w:type="dxa"/>
            <w:noWrap w:val="0"/>
            <w:vAlign w:val="center"/>
          </w:tcPr>
          <w:p>
            <w:pPr>
              <w:spacing w:line="360" w:lineRule="auto"/>
              <w:jc w:val="center"/>
              <w:rPr>
                <w:rFonts w:ascii="宋体" w:hAnsi="宋体"/>
                <w:szCs w:val="21"/>
              </w:rPr>
            </w:pPr>
            <w:r>
              <w:rPr>
                <w:rFonts w:hint="eastAsia" w:ascii="宋体" w:hAnsi="宋体"/>
                <w:szCs w:val="21"/>
              </w:rPr>
              <w:t>好</w:t>
            </w:r>
          </w:p>
        </w:tc>
        <w:tc>
          <w:tcPr>
            <w:tcW w:w="2806" w:type="dxa"/>
            <w:noWrap w:val="0"/>
            <w:vAlign w:val="center"/>
          </w:tcPr>
          <w:p>
            <w:pPr>
              <w:spacing w:line="360" w:lineRule="auto"/>
              <w:jc w:val="center"/>
              <w:rPr>
                <w:rFonts w:ascii="宋体" w:hAnsi="宋体"/>
                <w:szCs w:val="21"/>
              </w:rPr>
            </w:pPr>
            <w:r>
              <w:rPr>
                <w:rFonts w:hint="eastAsia" w:ascii="宋体" w:hAnsi="宋体"/>
                <w:szCs w:val="21"/>
              </w:rPr>
              <w:t>一般</w:t>
            </w:r>
          </w:p>
        </w:tc>
        <w:tc>
          <w:tcPr>
            <w:tcW w:w="2664" w:type="dxa"/>
            <w:noWrap w:val="0"/>
            <w:vAlign w:val="center"/>
          </w:tcPr>
          <w:p>
            <w:pPr>
              <w:spacing w:line="360" w:lineRule="auto"/>
              <w:jc w:val="center"/>
              <w:rPr>
                <w:rFonts w:ascii="宋体" w:hAnsi="宋体"/>
                <w:szCs w:val="21"/>
              </w:rPr>
            </w:pPr>
            <w:r>
              <w:rPr>
                <w:rFonts w:hint="eastAsia" w:ascii="宋体" w:hAnsi="宋体"/>
                <w:szCs w:val="21"/>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228" w:type="dxa"/>
            <w:noWrap w:val="0"/>
            <w:vAlign w:val="center"/>
          </w:tcPr>
          <w:p>
            <w:pPr>
              <w:spacing w:line="360" w:lineRule="auto"/>
              <w:jc w:val="center"/>
              <w:rPr>
                <w:rFonts w:ascii="宋体" w:hAnsi="宋体"/>
                <w:szCs w:val="21"/>
              </w:rPr>
            </w:pPr>
            <w:r>
              <w:rPr>
                <w:rFonts w:hint="eastAsia" w:ascii="宋体" w:hAnsi="宋体"/>
                <w:szCs w:val="21"/>
              </w:rPr>
              <w:t>灭蝇效果</w:t>
            </w:r>
          </w:p>
        </w:tc>
        <w:tc>
          <w:tcPr>
            <w:tcW w:w="2520" w:type="dxa"/>
            <w:noWrap w:val="0"/>
            <w:vAlign w:val="center"/>
          </w:tcPr>
          <w:p>
            <w:pPr>
              <w:spacing w:line="360" w:lineRule="auto"/>
              <w:jc w:val="center"/>
              <w:rPr>
                <w:rFonts w:ascii="宋体" w:hAnsi="宋体"/>
                <w:szCs w:val="21"/>
              </w:rPr>
            </w:pPr>
            <w:r>
              <w:rPr>
                <w:rFonts w:hint="eastAsia" w:ascii="宋体" w:hAnsi="宋体"/>
                <w:szCs w:val="21"/>
              </w:rPr>
              <w:t>好</w:t>
            </w:r>
          </w:p>
        </w:tc>
        <w:tc>
          <w:tcPr>
            <w:tcW w:w="2806" w:type="dxa"/>
            <w:noWrap w:val="0"/>
            <w:vAlign w:val="center"/>
          </w:tcPr>
          <w:p>
            <w:pPr>
              <w:spacing w:line="360" w:lineRule="auto"/>
              <w:jc w:val="center"/>
              <w:rPr>
                <w:rFonts w:ascii="宋体" w:hAnsi="宋体"/>
                <w:szCs w:val="21"/>
              </w:rPr>
            </w:pPr>
            <w:r>
              <w:rPr>
                <w:rFonts w:hint="eastAsia" w:ascii="宋体" w:hAnsi="宋体"/>
                <w:szCs w:val="21"/>
              </w:rPr>
              <w:t>一般</w:t>
            </w:r>
          </w:p>
        </w:tc>
        <w:tc>
          <w:tcPr>
            <w:tcW w:w="2664" w:type="dxa"/>
            <w:noWrap w:val="0"/>
            <w:vAlign w:val="center"/>
          </w:tcPr>
          <w:p>
            <w:pPr>
              <w:spacing w:line="360" w:lineRule="auto"/>
              <w:jc w:val="center"/>
              <w:rPr>
                <w:rFonts w:ascii="宋体" w:hAnsi="宋体"/>
                <w:szCs w:val="21"/>
              </w:rPr>
            </w:pPr>
            <w:r>
              <w:rPr>
                <w:rFonts w:hint="eastAsia" w:ascii="宋体" w:hAnsi="宋体"/>
                <w:szCs w:val="21"/>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228" w:type="dxa"/>
            <w:noWrap w:val="0"/>
            <w:vAlign w:val="center"/>
          </w:tcPr>
          <w:p>
            <w:pPr>
              <w:spacing w:line="400" w:lineRule="exact"/>
              <w:jc w:val="center"/>
              <w:rPr>
                <w:rFonts w:ascii="宋体" w:hAnsi="宋体"/>
                <w:szCs w:val="21"/>
              </w:rPr>
            </w:pPr>
            <w:r>
              <w:rPr>
                <w:rFonts w:hint="eastAsia" w:ascii="宋体" w:hAnsi="宋体"/>
                <w:szCs w:val="21"/>
              </w:rPr>
              <w:t>对消杀人员服务态度的评价</w:t>
            </w:r>
          </w:p>
        </w:tc>
        <w:tc>
          <w:tcPr>
            <w:tcW w:w="2520" w:type="dxa"/>
            <w:noWrap w:val="0"/>
            <w:vAlign w:val="center"/>
          </w:tcPr>
          <w:p>
            <w:pPr>
              <w:spacing w:line="360" w:lineRule="auto"/>
              <w:jc w:val="center"/>
              <w:rPr>
                <w:rFonts w:ascii="宋体" w:hAnsi="宋体"/>
                <w:szCs w:val="21"/>
              </w:rPr>
            </w:pPr>
            <w:r>
              <w:rPr>
                <w:rFonts w:hint="eastAsia" w:ascii="宋体" w:hAnsi="宋体"/>
                <w:szCs w:val="21"/>
              </w:rPr>
              <w:t>满意</w:t>
            </w:r>
          </w:p>
        </w:tc>
        <w:tc>
          <w:tcPr>
            <w:tcW w:w="2806" w:type="dxa"/>
            <w:noWrap w:val="0"/>
            <w:vAlign w:val="center"/>
          </w:tcPr>
          <w:p>
            <w:pPr>
              <w:spacing w:line="360" w:lineRule="auto"/>
              <w:jc w:val="center"/>
              <w:rPr>
                <w:rFonts w:ascii="宋体" w:hAnsi="宋体"/>
                <w:szCs w:val="21"/>
              </w:rPr>
            </w:pPr>
            <w:r>
              <w:rPr>
                <w:rFonts w:hint="eastAsia" w:ascii="宋体" w:hAnsi="宋体"/>
                <w:szCs w:val="21"/>
              </w:rPr>
              <w:t>基本满意</w:t>
            </w:r>
          </w:p>
        </w:tc>
        <w:tc>
          <w:tcPr>
            <w:tcW w:w="2664" w:type="dxa"/>
            <w:noWrap w:val="0"/>
            <w:vAlign w:val="center"/>
          </w:tcPr>
          <w:p>
            <w:pPr>
              <w:spacing w:line="360" w:lineRule="auto"/>
              <w:jc w:val="center"/>
              <w:rPr>
                <w:rFonts w:ascii="宋体" w:hAnsi="宋体"/>
                <w:szCs w:val="21"/>
              </w:rPr>
            </w:pPr>
            <w:r>
              <w:rPr>
                <w:rFonts w:hint="eastAsia" w:ascii="宋体" w:hAnsi="宋体"/>
                <w:szCs w:val="21"/>
              </w:rPr>
              <w:t>不满意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228" w:type="dxa"/>
            <w:noWrap w:val="0"/>
            <w:vAlign w:val="center"/>
          </w:tcPr>
          <w:p>
            <w:pPr>
              <w:spacing w:line="360" w:lineRule="auto"/>
              <w:jc w:val="center"/>
              <w:rPr>
                <w:rFonts w:ascii="宋体" w:hAnsi="宋体"/>
                <w:szCs w:val="21"/>
              </w:rPr>
            </w:pPr>
            <w:r>
              <w:rPr>
                <w:rFonts w:hint="eastAsia" w:ascii="宋体" w:hAnsi="宋体"/>
                <w:szCs w:val="21"/>
              </w:rPr>
              <w:t>总体评价</w:t>
            </w:r>
          </w:p>
        </w:tc>
        <w:tc>
          <w:tcPr>
            <w:tcW w:w="2520" w:type="dxa"/>
            <w:noWrap w:val="0"/>
            <w:vAlign w:val="center"/>
          </w:tcPr>
          <w:p>
            <w:pPr>
              <w:spacing w:line="360" w:lineRule="auto"/>
              <w:jc w:val="center"/>
              <w:rPr>
                <w:rFonts w:ascii="宋体" w:hAnsi="宋体"/>
                <w:szCs w:val="21"/>
              </w:rPr>
            </w:pPr>
            <w:r>
              <w:rPr>
                <w:rFonts w:hint="eastAsia" w:ascii="宋体" w:hAnsi="宋体"/>
                <w:szCs w:val="21"/>
              </w:rPr>
              <w:t>满意</w:t>
            </w:r>
          </w:p>
        </w:tc>
        <w:tc>
          <w:tcPr>
            <w:tcW w:w="2806" w:type="dxa"/>
            <w:noWrap w:val="0"/>
            <w:vAlign w:val="center"/>
          </w:tcPr>
          <w:p>
            <w:pPr>
              <w:spacing w:line="360" w:lineRule="auto"/>
              <w:jc w:val="center"/>
              <w:rPr>
                <w:rFonts w:ascii="宋体" w:hAnsi="宋体"/>
                <w:szCs w:val="21"/>
              </w:rPr>
            </w:pPr>
            <w:r>
              <w:rPr>
                <w:rFonts w:hint="eastAsia" w:ascii="宋体" w:hAnsi="宋体"/>
                <w:szCs w:val="21"/>
              </w:rPr>
              <w:t>基本满意</w:t>
            </w:r>
          </w:p>
        </w:tc>
        <w:tc>
          <w:tcPr>
            <w:tcW w:w="2664" w:type="dxa"/>
            <w:noWrap w:val="0"/>
            <w:vAlign w:val="center"/>
          </w:tcPr>
          <w:p>
            <w:pPr>
              <w:spacing w:line="360" w:lineRule="auto"/>
              <w:jc w:val="center"/>
              <w:rPr>
                <w:rFonts w:ascii="宋体" w:hAnsi="宋体"/>
                <w:szCs w:val="21"/>
              </w:rPr>
            </w:pPr>
            <w:r>
              <w:rPr>
                <w:rFonts w:hint="eastAsia" w:ascii="宋体" w:hAnsi="宋体"/>
                <w:szCs w:val="21"/>
              </w:rPr>
              <w:t>不满意</w:t>
            </w:r>
          </w:p>
        </w:tc>
      </w:tr>
    </w:tbl>
    <w:p>
      <w:pPr>
        <w:pStyle w:val="14"/>
        <w:tabs>
          <w:tab w:val="left" w:pos="900"/>
        </w:tabs>
        <w:autoSpaceDE/>
        <w:autoSpaceDN/>
        <w:adjustRightInd/>
        <w:spacing w:line="400" w:lineRule="exact"/>
        <w:ind w:firstLine="301"/>
        <w:rPr>
          <w:rFonts w:ascii="宋体" w:hAnsi="宋体" w:eastAsia="宋体"/>
          <w:sz w:val="21"/>
          <w:szCs w:val="21"/>
          <w:lang w:val="en-US"/>
        </w:rPr>
      </w:pPr>
      <w:r>
        <w:rPr>
          <w:rFonts w:ascii="宋体" w:hAnsi="宋体" w:eastAsia="宋体"/>
          <w:sz w:val="21"/>
          <w:szCs w:val="21"/>
          <w:lang w:val="en-US"/>
        </w:rPr>
        <w:t>注：好：鼠、</w:t>
      </w:r>
      <w:r>
        <w:rPr>
          <w:rFonts w:hint="eastAsia" w:ascii="宋体" w:hAnsi="宋体"/>
          <w:sz w:val="21"/>
          <w:szCs w:val="21"/>
          <w:lang w:val="en-US" w:eastAsia="zh-CN"/>
        </w:rPr>
        <w:t>蚊</w:t>
      </w:r>
      <w:r>
        <w:rPr>
          <w:rFonts w:ascii="宋体" w:hAnsi="宋体" w:eastAsia="宋体"/>
          <w:sz w:val="21"/>
          <w:szCs w:val="21"/>
          <w:lang w:val="en-US"/>
        </w:rPr>
        <w:t>、蝇明显减少；一般：鼠、</w:t>
      </w:r>
      <w:r>
        <w:rPr>
          <w:rFonts w:hint="eastAsia" w:ascii="宋体" w:hAnsi="宋体"/>
          <w:sz w:val="21"/>
          <w:szCs w:val="21"/>
          <w:lang w:val="en-US" w:eastAsia="zh-CN"/>
        </w:rPr>
        <w:t>蚊</w:t>
      </w:r>
      <w:r>
        <w:rPr>
          <w:rFonts w:ascii="宋体" w:hAnsi="宋体" w:eastAsia="宋体"/>
          <w:sz w:val="21"/>
          <w:szCs w:val="21"/>
          <w:lang w:val="en-US"/>
        </w:rPr>
        <w:t>、蝇略有减少；差：鼠、</w:t>
      </w:r>
      <w:r>
        <w:rPr>
          <w:rFonts w:hint="eastAsia" w:ascii="宋体" w:hAnsi="宋体"/>
          <w:sz w:val="21"/>
          <w:szCs w:val="21"/>
          <w:lang w:val="en-US" w:eastAsia="zh-CN"/>
        </w:rPr>
        <w:t>蚊</w:t>
      </w:r>
      <w:r>
        <w:rPr>
          <w:rFonts w:ascii="宋体" w:hAnsi="宋体" w:eastAsia="宋体"/>
          <w:sz w:val="21"/>
          <w:szCs w:val="21"/>
          <w:lang w:val="en-US"/>
        </w:rPr>
        <w:t>、蝇较往年差别不大。请在评价结论处打“√”表示。</w:t>
      </w:r>
    </w:p>
    <w:p>
      <w:pPr>
        <w:pStyle w:val="14"/>
        <w:tabs>
          <w:tab w:val="left" w:pos="900"/>
        </w:tabs>
        <w:autoSpaceDE/>
        <w:autoSpaceDN/>
        <w:adjustRightInd/>
        <w:spacing w:line="400" w:lineRule="exact"/>
        <w:ind w:firstLine="301"/>
        <w:rPr>
          <w:rFonts w:ascii="宋体" w:hAnsi="宋体" w:eastAsia="宋体"/>
          <w:sz w:val="21"/>
          <w:szCs w:val="21"/>
          <w:lang w:val="en-US"/>
        </w:rPr>
      </w:pPr>
      <w:r>
        <w:rPr>
          <w:rFonts w:hint="eastAsia" w:ascii="宋体" w:hAnsi="宋体" w:eastAsia="宋体"/>
          <w:sz w:val="21"/>
          <w:szCs w:val="21"/>
          <w:lang w:val="en-US"/>
        </w:rPr>
        <w:t>建议意见：</w:t>
      </w:r>
    </w:p>
    <w:p>
      <w:pPr>
        <w:spacing w:line="480" w:lineRule="auto"/>
        <w:ind w:firstLine="424" w:firstLineChars="200"/>
        <w:rPr>
          <w:rFonts w:ascii="宋体" w:hAnsi="宋体"/>
          <w:szCs w:val="21"/>
        </w:rPr>
      </w:pPr>
    </w:p>
    <w:p>
      <w:pPr>
        <w:rPr>
          <w:rFonts w:hint="eastAsia" w:ascii="宋体" w:hAnsi="宋体"/>
          <w:szCs w:val="21"/>
        </w:rPr>
      </w:pPr>
      <w:r>
        <w:rPr>
          <w:rFonts w:ascii="宋体" w:hAnsi="宋体"/>
          <w:szCs w:val="21"/>
        </w:rPr>
        <w:t xml:space="preserve">  </w:t>
      </w:r>
      <w:r>
        <w:rPr>
          <w:rFonts w:hint="eastAsia" w:ascii="宋体" w:hAnsi="宋体"/>
          <w:szCs w:val="21"/>
        </w:rPr>
        <w:t>调查单位：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调查人：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调查时间：</w:t>
      </w:r>
    </w:p>
    <w:p>
      <w:pPr>
        <w:rPr>
          <w:rFonts w:hint="eastAsia" w:ascii="宋体" w:hAnsi="宋体"/>
          <w:szCs w:val="21"/>
        </w:rPr>
      </w:pPr>
    </w:p>
    <w:p>
      <w:pPr>
        <w:rPr>
          <w:rFonts w:hint="eastAsia" w:ascii="宋体" w:hAnsi="宋体"/>
          <w:szCs w:val="21"/>
        </w:rPr>
      </w:pPr>
    </w:p>
    <w:p>
      <w:pPr>
        <w:pStyle w:val="14"/>
        <w:tabs>
          <w:tab w:val="left" w:pos="900"/>
        </w:tabs>
        <w:ind w:firstLine="0"/>
        <w:rPr>
          <w:rFonts w:hint="eastAsia"/>
        </w:rPr>
        <w:sectPr>
          <w:headerReference r:id="rId10" w:type="default"/>
          <w:footerReference r:id="rId11" w:type="default"/>
          <w:pgSz w:w="16783" w:h="11850" w:orient="landscape"/>
          <w:pgMar w:top="1134" w:right="1020" w:bottom="1134" w:left="1020" w:header="851" w:footer="992" w:gutter="0"/>
          <w:cols w:space="720" w:num="1"/>
          <w:docGrid w:type="linesAndChars" w:linePitch="320" w:charSpace="482"/>
        </w:sectPr>
      </w:pPr>
      <w:r>
        <w:rPr>
          <w:rFonts w:hint="eastAsia" w:ascii="宋体" w:hAnsi="宋体" w:eastAsia="宋体" w:cs="宋体"/>
          <w:b/>
          <w:bCs/>
          <w:sz w:val="21"/>
          <w:szCs w:val="21"/>
        </w:rPr>
        <w:t>备注：此表由</w:t>
      </w:r>
      <w:r>
        <w:rPr>
          <w:rFonts w:hint="eastAsia" w:ascii="宋体" w:hAnsi="宋体" w:cs="宋体"/>
          <w:b/>
          <w:bCs/>
          <w:sz w:val="21"/>
          <w:szCs w:val="21"/>
          <w:lang w:val="en-US" w:eastAsia="zh-CN"/>
        </w:rPr>
        <w:t>街道、</w:t>
      </w:r>
      <w:r>
        <w:rPr>
          <w:rFonts w:hint="eastAsia" w:ascii="宋体" w:hAnsi="宋体" w:eastAsia="宋体" w:cs="宋体"/>
          <w:b/>
          <w:bCs/>
          <w:sz w:val="21"/>
          <w:szCs w:val="21"/>
        </w:rPr>
        <w:t>社区调查使用，每次调查重点行业业主不少于</w:t>
      </w:r>
      <w:r>
        <w:rPr>
          <w:rFonts w:hint="eastAsia" w:ascii="宋体" w:hAnsi="宋体" w:eastAsia="宋体" w:cs="宋体"/>
          <w:b/>
          <w:bCs/>
          <w:sz w:val="21"/>
          <w:szCs w:val="21"/>
          <w:lang w:val="en-US"/>
        </w:rPr>
        <w:t>10人，</w:t>
      </w:r>
      <w:r>
        <w:rPr>
          <w:rFonts w:hint="eastAsia" w:ascii="宋体" w:hAnsi="宋体" w:cs="宋体"/>
          <w:b/>
          <w:bCs/>
          <w:sz w:val="21"/>
          <w:szCs w:val="21"/>
          <w:lang w:val="en-US" w:eastAsia="zh-CN"/>
        </w:rPr>
        <w:t>社区</w:t>
      </w:r>
      <w:r>
        <w:rPr>
          <w:rFonts w:hint="eastAsia" w:ascii="宋体" w:hAnsi="宋体" w:eastAsia="宋体" w:cs="宋体"/>
          <w:b/>
          <w:bCs/>
          <w:sz w:val="21"/>
          <w:szCs w:val="21"/>
          <w:lang w:val="en-US"/>
        </w:rPr>
        <w:t>将调查结果汇总后报送街道爱卫办。</w:t>
      </w:r>
    </w:p>
    <w:p>
      <w:pPr>
        <w:rPr>
          <w:rFonts w:hint="eastAsia" w:ascii="宋体" w:hAnsi="宋体" w:eastAsia="宋体"/>
          <w:b/>
          <w:kern w:val="0"/>
          <w:szCs w:val="21"/>
          <w:lang w:val="en-US" w:eastAsia="zh-CN"/>
        </w:rPr>
      </w:pPr>
      <w:r>
        <w:rPr>
          <w:rFonts w:hint="eastAsia" w:ascii="宋体" w:hAnsi="宋体"/>
          <w:b/>
          <w:szCs w:val="21"/>
        </w:rPr>
        <w:t>附件</w:t>
      </w:r>
      <w:r>
        <w:rPr>
          <w:rFonts w:hint="eastAsia" w:ascii="宋体" w:hAnsi="宋体"/>
          <w:b/>
          <w:szCs w:val="21"/>
          <w:lang w:val="en-US" w:eastAsia="zh-CN"/>
        </w:rPr>
        <w:t>3</w:t>
      </w:r>
    </w:p>
    <w:p>
      <w:pPr>
        <w:ind w:firstLine="1272" w:firstLineChars="600"/>
        <w:rPr>
          <w:rFonts w:ascii="宋体" w:hAnsi="宋体"/>
          <w:szCs w:val="21"/>
        </w:rPr>
      </w:pPr>
    </w:p>
    <w:p>
      <w:pPr>
        <w:spacing w:line="400" w:lineRule="exact"/>
        <w:jc w:val="center"/>
        <w:rPr>
          <w:rFonts w:hint="eastAsia" w:ascii="宋体" w:hAnsi="宋体"/>
          <w:b/>
          <w:spacing w:val="30"/>
          <w:sz w:val="28"/>
        </w:rPr>
      </w:pPr>
    </w:p>
    <w:p>
      <w:pPr>
        <w:spacing w:line="400" w:lineRule="exact"/>
        <w:jc w:val="center"/>
        <w:rPr>
          <w:rFonts w:hint="eastAsia" w:ascii="宋体" w:hAnsi="宋体"/>
          <w:b/>
          <w:spacing w:val="30"/>
          <w:sz w:val="28"/>
        </w:rPr>
      </w:pPr>
      <w:r>
        <w:rPr>
          <w:rFonts w:hint="eastAsia" w:ascii="宋体" w:hAnsi="宋体"/>
          <w:b/>
          <w:spacing w:val="30"/>
          <w:sz w:val="28"/>
          <w:lang w:val="en-US" w:eastAsia="zh-CN"/>
        </w:rPr>
        <w:t>社区公共环境</w:t>
      </w:r>
      <w:r>
        <w:rPr>
          <w:rFonts w:hint="eastAsia" w:ascii="宋体" w:hAnsi="宋体"/>
          <w:b/>
          <w:spacing w:val="30"/>
          <w:sz w:val="28"/>
        </w:rPr>
        <w:t>病媒生物防制</w:t>
      </w:r>
      <w:r>
        <w:rPr>
          <w:rFonts w:hint="eastAsia" w:ascii="宋体" w:hAnsi="宋体"/>
          <w:b/>
          <w:spacing w:val="30"/>
          <w:sz w:val="28"/>
          <w:lang w:val="en-US" w:eastAsia="zh-CN"/>
        </w:rPr>
        <w:t>工作</w:t>
      </w:r>
      <w:r>
        <w:rPr>
          <w:rFonts w:hint="eastAsia" w:ascii="宋体" w:hAnsi="宋体"/>
          <w:b/>
          <w:spacing w:val="30"/>
          <w:sz w:val="28"/>
        </w:rPr>
        <w:t>消杀服务现场检查记录表</w:t>
      </w:r>
    </w:p>
    <w:tbl>
      <w:tblPr>
        <w:tblStyle w:val="27"/>
        <w:tblW w:w="118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956"/>
        <w:gridCol w:w="1005"/>
        <w:gridCol w:w="865"/>
        <w:gridCol w:w="1027"/>
        <w:gridCol w:w="1131"/>
        <w:gridCol w:w="1085"/>
        <w:gridCol w:w="1592"/>
        <w:gridCol w:w="1142"/>
        <w:gridCol w:w="946"/>
        <w:gridCol w:w="10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日期</w:t>
            </w:r>
          </w:p>
        </w:tc>
        <w:tc>
          <w:tcPr>
            <w:tcW w:w="19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鼠</w:t>
            </w:r>
          </w:p>
        </w:tc>
        <w:tc>
          <w:tcPr>
            <w:tcW w:w="41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蚊</w:t>
            </w:r>
          </w:p>
        </w:tc>
        <w:tc>
          <w:tcPr>
            <w:tcW w:w="471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Cs w:val="21"/>
              </w:rPr>
            </w:pPr>
            <w:r>
              <w:rPr>
                <w:rFonts w:hint="eastAsia" w:ascii="宋体" w:hAnsi="宋体"/>
                <w:szCs w:val="21"/>
              </w:rPr>
              <w:t>阳性</w:t>
            </w:r>
          </w:p>
          <w:p>
            <w:pPr>
              <w:adjustRightInd w:val="0"/>
              <w:snapToGrid w:val="0"/>
              <w:jc w:val="center"/>
              <w:rPr>
                <w:rFonts w:ascii="宋体" w:hAnsi="宋体"/>
                <w:szCs w:val="21"/>
              </w:rPr>
            </w:pPr>
            <w:r>
              <w:rPr>
                <w:rFonts w:hint="eastAsia" w:ascii="宋体" w:hAnsi="宋体"/>
                <w:szCs w:val="21"/>
              </w:rPr>
              <w:t>情况</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地点</w:t>
            </w:r>
          </w:p>
        </w:tc>
        <w:tc>
          <w:tcPr>
            <w:tcW w:w="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成蚊</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地点</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孑孓孳生</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地点</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成蝇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地点</w:t>
            </w:r>
          </w:p>
        </w:tc>
        <w:tc>
          <w:tcPr>
            <w:tcW w:w="9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蛆蛹孳生</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Cs w:val="21"/>
              </w:rPr>
            </w:pPr>
            <w:r>
              <w:rPr>
                <w:rFonts w:hint="eastAsia" w:ascii="宋体" w:hAnsi="宋体"/>
                <w:szCs w:val="21"/>
              </w:rPr>
              <w:t>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Cs w:val="21"/>
              </w:rPr>
            </w:pPr>
          </w:p>
        </w:tc>
      </w:tr>
    </w:tbl>
    <w:p>
      <w:pPr>
        <w:ind w:firstLine="1272" w:firstLineChars="600"/>
        <w:rPr>
          <w:rFonts w:hint="eastAsia" w:ascii="宋体" w:hAnsi="宋体"/>
          <w:szCs w:val="21"/>
        </w:rPr>
      </w:pPr>
    </w:p>
    <w:p>
      <w:pPr>
        <w:rPr>
          <w:rFonts w:hint="eastAsia" w:ascii="宋体" w:hAnsi="宋体"/>
          <w:szCs w:val="21"/>
        </w:rPr>
      </w:pPr>
      <w:r>
        <w:rPr>
          <w:rFonts w:hint="eastAsia" w:ascii="宋体" w:hAnsi="宋体"/>
          <w:szCs w:val="21"/>
        </w:rPr>
        <w:t>　　　　　　　检查单位：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检查人员：</w:t>
      </w:r>
      <w:r>
        <w:rPr>
          <w:rFonts w:ascii="宋体" w:hAnsi="宋体"/>
          <w:szCs w:val="21"/>
        </w:rPr>
        <w:t xml:space="preserve"> </w:t>
      </w:r>
      <w:r>
        <w:rPr>
          <w:rFonts w:hint="eastAsia" w:ascii="宋体" w:hAnsi="宋体"/>
          <w:szCs w:val="21"/>
        </w:rPr>
        <w:t xml:space="preserve">                        检查日期：</w:t>
      </w:r>
    </w:p>
    <w:p>
      <w:pPr>
        <w:jc w:val="center"/>
        <w:rPr>
          <w:rFonts w:hint="eastAsia" w:ascii="宋体" w:hAnsi="宋体"/>
          <w:b/>
          <w:kern w:val="0"/>
          <w:szCs w:val="21"/>
        </w:rPr>
      </w:pPr>
    </w:p>
    <w:p>
      <w:pPr>
        <w:rPr>
          <w:rFonts w:hint="eastAsia" w:ascii="Times New Roman" w:eastAsia="宋体"/>
          <w:b/>
        </w:rPr>
      </w:pPr>
      <w:r>
        <w:rPr>
          <w:rFonts w:hint="eastAsia" w:ascii="Times New Roman" w:eastAsia="宋体"/>
          <w:b/>
        </w:rPr>
        <w:br w:type="page"/>
      </w:r>
    </w:p>
    <w:p>
      <w:pPr>
        <w:rPr>
          <w:rFonts w:hint="eastAsia" w:ascii="宋体" w:hAnsi="宋体"/>
          <w:b/>
          <w:szCs w:val="21"/>
          <w:lang w:val="en-US" w:eastAsia="zh-CN"/>
        </w:rPr>
      </w:pPr>
      <w:r>
        <w:rPr>
          <w:rFonts w:hint="eastAsia" w:ascii="宋体" w:hAnsi="宋体"/>
          <w:b/>
          <w:szCs w:val="21"/>
        </w:rPr>
        <w:t>附件</w:t>
      </w:r>
      <w:r>
        <w:rPr>
          <w:rFonts w:hint="eastAsia" w:ascii="宋体" w:hAnsi="宋体"/>
          <w:b/>
          <w:szCs w:val="21"/>
          <w:lang w:val="en-US" w:eastAsia="zh-CN"/>
        </w:rPr>
        <w:t xml:space="preserve">4  </w:t>
      </w:r>
    </w:p>
    <w:tbl>
      <w:tblPr>
        <w:tblStyle w:val="27"/>
        <w:tblW w:w="13442" w:type="dxa"/>
        <w:tblInd w:w="0" w:type="dxa"/>
        <w:shd w:val="clear" w:color="auto" w:fill="auto"/>
        <w:tblLayout w:type="fixed"/>
        <w:tblCellMar>
          <w:top w:w="0" w:type="dxa"/>
          <w:left w:w="0" w:type="dxa"/>
          <w:bottom w:w="0" w:type="dxa"/>
          <w:right w:w="0" w:type="dxa"/>
        </w:tblCellMar>
      </w:tblPr>
      <w:tblGrid>
        <w:gridCol w:w="1072"/>
        <w:gridCol w:w="2770"/>
        <w:gridCol w:w="2111"/>
        <w:gridCol w:w="3281"/>
        <w:gridCol w:w="1332"/>
        <w:gridCol w:w="2876"/>
      </w:tblGrid>
      <w:tr>
        <w:tblPrEx>
          <w:shd w:val="clear" w:color="auto" w:fill="auto"/>
          <w:tblCellMar>
            <w:top w:w="0" w:type="dxa"/>
            <w:left w:w="0" w:type="dxa"/>
            <w:bottom w:w="0" w:type="dxa"/>
            <w:right w:w="0" w:type="dxa"/>
          </w:tblCellMar>
        </w:tblPrEx>
        <w:trPr>
          <w:trHeight w:val="380" w:hRule="atLeast"/>
        </w:trPr>
        <w:tc>
          <w:tcPr>
            <w:tcW w:w="1344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各社区公共卫生环境基本情况表</w:t>
            </w:r>
          </w:p>
        </w:tc>
      </w:tr>
      <w:tr>
        <w:tblPrEx>
          <w:tblCellMar>
            <w:top w:w="0" w:type="dxa"/>
            <w:left w:w="0" w:type="dxa"/>
            <w:bottom w:w="0" w:type="dxa"/>
            <w:right w:w="0" w:type="dxa"/>
          </w:tblCellMar>
        </w:tblPrEx>
        <w:trPr>
          <w:trHeight w:val="57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社区名称</w:t>
            </w:r>
          </w:p>
        </w:tc>
        <w:tc>
          <w:tcPr>
            <w:tcW w:w="2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小区名称（含单位宿舍，不包括公司的宿舍）</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垃圾分类房（座）</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垃圾桶/垃圾箱投放点（个）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楼幢（幢）</w:t>
            </w:r>
          </w:p>
        </w:tc>
        <w:tc>
          <w:tcPr>
            <w:tcW w:w="287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东海社区</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东海花苑南区</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2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排屋、自建房单列为一幢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东海花苑北区</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排屋、自建房单列为一幢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碧桂园</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易购商住楼</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3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新港社区</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新港花苑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西塘景苑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8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长浜花苑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新安花苑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桂雨江南</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海湾社区</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港湾花苑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海港花苑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创业公寓</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安心公寓</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两创中心</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清湖社区</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东港南苑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东港北苑一、二区排屋</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东港北苑三区排屋</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东港佳苑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锦绣苑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花王名都排屋</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花王名都高层</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大树花苑排屋</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大树花苑多层</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滨海社区</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滨海北苑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滨海花苑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胜丰佳苑</w:t>
            </w:r>
          </w:p>
        </w:tc>
        <w:tc>
          <w:tcPr>
            <w:tcW w:w="211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28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老集镇老房子</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8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老街上自建房单列为一幢</w:t>
            </w:r>
          </w:p>
        </w:tc>
      </w:tr>
      <w:tr>
        <w:tblPrEx>
          <w:tblCellMar>
            <w:top w:w="0" w:type="dxa"/>
            <w:left w:w="0" w:type="dxa"/>
            <w:bottom w:w="0" w:type="dxa"/>
            <w:right w:w="0" w:type="dxa"/>
          </w:tblCellMar>
        </w:tblPrEx>
        <w:trPr>
          <w:trHeight w:val="28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海城社区</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姚家花苑西区</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8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姚家花苑东区</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8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排屋单列为一幢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场前佳苑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8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新城花苑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海景社区</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中王里东区、西区</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自建房4户为一幢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海景南苑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海景北苑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排屋6户为一幢</w:t>
            </w: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海景雅苑</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春风桃源里</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1172</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hint="eastAsia"/>
        </w:rPr>
        <w:sectPr>
          <w:pgSz w:w="16783" w:h="11850" w:orient="landscape"/>
          <w:pgMar w:top="1134" w:right="1020" w:bottom="1134" w:left="1020" w:header="851" w:footer="992" w:gutter="0"/>
          <w:cols w:space="720" w:num="1"/>
          <w:docGrid w:type="linesAndChars" w:linePitch="320" w:charSpace="482"/>
        </w:sectPr>
      </w:pPr>
    </w:p>
    <w:p>
      <w:pPr>
        <w:rPr>
          <w:rFonts w:hint="eastAsia" w:ascii="宋体" w:hAnsi="宋体"/>
          <w:b/>
          <w:szCs w:val="21"/>
          <w:lang w:val="en-US" w:eastAsia="zh-CN"/>
        </w:rPr>
      </w:pPr>
      <w:r>
        <w:rPr>
          <w:rFonts w:hint="eastAsia" w:ascii="宋体" w:hAnsi="宋体"/>
          <w:b/>
          <w:szCs w:val="21"/>
        </w:rPr>
        <w:t>附件</w:t>
      </w:r>
      <w:r>
        <w:rPr>
          <w:rFonts w:hint="eastAsia" w:ascii="宋体" w:hAnsi="宋体"/>
          <w:b/>
          <w:szCs w:val="21"/>
          <w:lang w:val="en-US" w:eastAsia="zh-CN"/>
        </w:rPr>
        <w:t xml:space="preserve">5  </w:t>
      </w:r>
    </w:p>
    <w:p>
      <w:pPr>
        <w:rPr>
          <w:rFonts w:hint="default"/>
          <w:lang w:val="en-US" w:eastAsia="zh-CN"/>
        </w:rPr>
      </w:pPr>
    </w:p>
    <w:tbl>
      <w:tblPr>
        <w:tblStyle w:val="27"/>
        <w:tblW w:w="9225" w:type="dxa"/>
        <w:tblInd w:w="0" w:type="dxa"/>
        <w:shd w:val="clear" w:color="auto" w:fill="auto"/>
        <w:tblLayout w:type="fixed"/>
        <w:tblCellMar>
          <w:top w:w="0" w:type="dxa"/>
          <w:left w:w="0" w:type="dxa"/>
          <w:bottom w:w="0" w:type="dxa"/>
          <w:right w:w="0" w:type="dxa"/>
        </w:tblCellMar>
      </w:tblPr>
      <w:tblGrid>
        <w:gridCol w:w="1080"/>
        <w:gridCol w:w="2655"/>
        <w:gridCol w:w="1635"/>
        <w:gridCol w:w="990"/>
        <w:gridCol w:w="1500"/>
        <w:gridCol w:w="1365"/>
      </w:tblGrid>
      <w:tr>
        <w:tblPrEx>
          <w:shd w:val="clear" w:color="auto" w:fill="auto"/>
          <w:tblCellMar>
            <w:top w:w="0" w:type="dxa"/>
            <w:left w:w="0" w:type="dxa"/>
            <w:bottom w:w="0" w:type="dxa"/>
            <w:right w:w="0" w:type="dxa"/>
          </w:tblCellMar>
        </w:tblPrEx>
        <w:trPr>
          <w:trHeight w:val="375" w:hRule="atLeast"/>
        </w:trPr>
        <w:tc>
          <w:tcPr>
            <w:tcW w:w="922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西塘桥街道公共厕所明细表</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w:t>
            </w:r>
            <w:r>
              <w:rPr>
                <w:rFonts w:hint="eastAsia" w:ascii="宋体" w:hAnsi="宋体" w:cs="宋体"/>
                <w:i w:val="0"/>
                <w:color w:val="000000"/>
                <w:kern w:val="0"/>
                <w:sz w:val="24"/>
                <w:szCs w:val="24"/>
                <w:u w:val="none"/>
                <w:lang w:val="en-US" w:eastAsia="zh-CN" w:bidi="ar"/>
              </w:rPr>
              <w:t>（社区）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属性</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新海社区泾海路</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新海</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郭家埭</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新海</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姚家花苑公厕</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新城</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小区里面</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西塘顾家头（敬老院）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西塘</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西塘西李家村（桥下）</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西塘</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文体中心东侧</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西塘</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中央公园</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清湖社区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一百丈厕所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曙光</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大树底厕所（农行）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曙光</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姚家路东（易购）</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复兴公寓</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王庄新社区（停车场）</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西塘</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2017年交</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碧桂园厕所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海城</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2019年底</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儿童公园（移动塔）</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西塘</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新港花苑厕所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小区里面</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场前大王庙老厕所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海城</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胜丰佳苑东侧厕所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滨海社区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2021年2月</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科普公园驿站厕所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2021年2月</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姚家路西路厕所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清湖社区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2022年1月</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西塘路场前泾厕所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海景社区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2022年1月</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法制公园厕所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滨海社区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2022年1月</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创业公寓</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海湾社区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小区里面</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春风桃源里</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海景社区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小区里面</w:t>
            </w:r>
          </w:p>
        </w:tc>
      </w:tr>
    </w:tbl>
    <w:p>
      <w:pPr>
        <w:pStyle w:val="4"/>
        <w:rPr>
          <w:rFonts w:hint="default"/>
          <w:lang w:val="en-US" w:eastAsia="zh-CN"/>
        </w:rPr>
        <w:sectPr>
          <w:pgSz w:w="11850" w:h="16783"/>
          <w:pgMar w:top="1020" w:right="1134" w:bottom="1020" w:left="1134" w:header="851" w:footer="992" w:gutter="0"/>
          <w:cols w:space="720" w:num="1"/>
          <w:docGrid w:type="linesAndChars" w:linePitch="320" w:charSpace="482"/>
        </w:sectPr>
      </w:pPr>
    </w:p>
    <w:p>
      <w:pPr>
        <w:pStyle w:val="3"/>
        <w:keepNext w:val="0"/>
        <w:keepLines w:val="0"/>
        <w:pageBreakBefore/>
        <w:spacing w:beforeLines="100" w:afterLines="100" w:line="240" w:lineRule="auto"/>
        <w:jc w:val="center"/>
        <w:rPr>
          <w:rFonts w:ascii="Arial" w:hAnsi="Arial" w:cs="Arial"/>
          <w:sz w:val="28"/>
          <w:szCs w:val="36"/>
        </w:rPr>
      </w:pPr>
      <w:r>
        <w:rPr>
          <w:rFonts w:hint="eastAsia" w:ascii="Arial" w:hAnsi="Arial" w:cs="Arial"/>
          <w:sz w:val="28"/>
          <w:szCs w:val="36"/>
        </w:rPr>
        <w:t>第四部分</w:t>
      </w:r>
      <w:r>
        <w:rPr>
          <w:rFonts w:hint="eastAsia" w:ascii="Arial" w:hAnsi="Arial" w:cs="Arial"/>
          <w:sz w:val="28"/>
          <w:szCs w:val="36"/>
          <w:lang w:val="en-US" w:eastAsia="zh-CN"/>
        </w:rPr>
        <w:t xml:space="preserve">  </w:t>
      </w:r>
      <w:r>
        <w:rPr>
          <w:rFonts w:hint="eastAsia" w:ascii="Arial" w:hAnsi="Arial" w:cs="Arial"/>
          <w:sz w:val="28"/>
          <w:szCs w:val="36"/>
        </w:rPr>
        <w:t>合同条款</w:t>
      </w:r>
      <w:bookmarkEnd w:id="10"/>
    </w:p>
    <w:p>
      <w:pPr>
        <w:autoSpaceDE w:val="0"/>
        <w:autoSpaceDN w:val="0"/>
        <w:adjustRightInd w:val="0"/>
        <w:spacing w:line="360" w:lineRule="auto"/>
        <w:jc w:val="center"/>
        <w:rPr>
          <w:rFonts w:hint="eastAsia" w:ascii="宋体" w:hAnsi="宋体" w:cs="宋体"/>
          <w:b/>
          <w:kern w:val="0"/>
          <w:szCs w:val="21"/>
        </w:rPr>
      </w:pPr>
      <w:bookmarkStart w:id="11" w:name="_Toc342403721"/>
      <w:r>
        <w:rPr>
          <w:rFonts w:hint="eastAsia" w:ascii="宋体" w:hAnsi="宋体" w:cs="宋体"/>
          <w:b/>
          <w:szCs w:val="21"/>
        </w:rPr>
        <w:t>（供参考，双方在签订合同时可根据实际情况作相应修改）</w:t>
      </w:r>
      <w:bookmarkEnd w:id="11"/>
    </w:p>
    <w:p>
      <w:pPr>
        <w:tabs>
          <w:tab w:val="left" w:pos="180"/>
          <w:tab w:val="left" w:pos="360"/>
          <w:tab w:val="left" w:pos="540"/>
        </w:tabs>
        <w:ind w:firstLine="476" w:firstLineChars="225"/>
        <w:jc w:val="center"/>
        <w:rPr>
          <w:rFonts w:hint="eastAsia" w:ascii="宋体" w:hAnsi="宋体" w:cs="宋体"/>
          <w:szCs w:val="21"/>
        </w:rPr>
      </w:pPr>
      <w:r>
        <w:rPr>
          <w:rFonts w:hint="eastAsia" w:ascii="宋体" w:hAnsi="宋体" w:cs="宋体"/>
          <w:szCs w:val="21"/>
        </w:rPr>
        <w:t>海盐县政府购买服务合同</w:t>
      </w:r>
    </w:p>
    <w:p>
      <w:pPr>
        <w:keepNext w:val="0"/>
        <w:keepLines w:val="0"/>
        <w:pageBreakBefore w:val="0"/>
        <w:tabs>
          <w:tab w:val="left" w:pos="180"/>
          <w:tab w:val="left" w:pos="360"/>
          <w:tab w:val="left" w:pos="540"/>
        </w:tabs>
        <w:kinsoku/>
        <w:wordWrap/>
        <w:overflowPunct/>
        <w:topLinePunct w:val="0"/>
        <w:autoSpaceDE/>
        <w:autoSpaceDN/>
        <w:bidi w:val="0"/>
        <w:adjustRightInd/>
        <w:spacing w:line="360" w:lineRule="auto"/>
        <w:ind w:left="0" w:leftChars="0" w:firstLine="544" w:firstLineChars="225"/>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rPr>
        <w:t>甲  方：</w:t>
      </w:r>
      <w:r>
        <w:rPr>
          <w:rFonts w:hint="eastAsia" w:ascii="宋体" w:hAnsi="宋体" w:cs="宋体"/>
          <w:color w:val="000000"/>
          <w:sz w:val="24"/>
          <w:szCs w:val="24"/>
          <w:lang w:eastAsia="zh-CN"/>
        </w:rPr>
        <w:t xml:space="preserve">浙江省海盐经济开发区管理委员会 </w:t>
      </w:r>
    </w:p>
    <w:p>
      <w:pPr>
        <w:keepNext w:val="0"/>
        <w:keepLines w:val="0"/>
        <w:pageBreakBefore w:val="0"/>
        <w:tabs>
          <w:tab w:val="left" w:pos="180"/>
          <w:tab w:val="left" w:pos="360"/>
          <w:tab w:val="left" w:pos="540"/>
        </w:tabs>
        <w:kinsoku/>
        <w:wordWrap/>
        <w:overflowPunct/>
        <w:topLinePunct w:val="0"/>
        <w:autoSpaceDE/>
        <w:autoSpaceDN/>
        <w:bidi w:val="0"/>
        <w:adjustRightInd/>
        <w:spacing w:line="360" w:lineRule="auto"/>
        <w:ind w:left="0" w:leftChars="0" w:firstLine="544" w:firstLineChars="225"/>
        <w:textAlignment w:val="auto"/>
        <w:rPr>
          <w:rFonts w:hint="eastAsia" w:ascii="宋体" w:hAnsi="宋体" w:cs="宋体"/>
          <w:color w:val="000000"/>
          <w:sz w:val="24"/>
          <w:szCs w:val="24"/>
        </w:rPr>
      </w:pPr>
      <w:r>
        <w:rPr>
          <w:rFonts w:hint="eastAsia" w:ascii="宋体" w:hAnsi="宋体" w:cs="宋体"/>
          <w:color w:val="000000"/>
          <w:sz w:val="24"/>
          <w:szCs w:val="24"/>
        </w:rPr>
        <w:t>乙  方：</w:t>
      </w:r>
    </w:p>
    <w:p>
      <w:pPr>
        <w:keepNext w:val="0"/>
        <w:keepLines w:val="0"/>
        <w:pageBreakBefore w:val="0"/>
        <w:tabs>
          <w:tab w:val="left" w:pos="180"/>
          <w:tab w:val="left" w:pos="360"/>
          <w:tab w:val="left" w:pos="540"/>
        </w:tabs>
        <w:kinsoku/>
        <w:wordWrap/>
        <w:overflowPunct/>
        <w:topLinePunct w:val="0"/>
        <w:autoSpaceDE/>
        <w:autoSpaceDN/>
        <w:bidi w:val="0"/>
        <w:adjustRightInd/>
        <w:spacing w:line="360" w:lineRule="auto"/>
        <w:ind w:left="0" w:leftChars="0" w:firstLine="544" w:firstLineChars="225"/>
        <w:textAlignment w:val="auto"/>
        <w:rPr>
          <w:rFonts w:hint="eastAsia" w:ascii="宋体" w:hAnsi="宋体" w:cs="宋体"/>
          <w:color w:val="000000"/>
          <w:sz w:val="24"/>
          <w:szCs w:val="24"/>
        </w:rPr>
      </w:pPr>
      <w:r>
        <w:rPr>
          <w:rFonts w:hint="eastAsia" w:ascii="宋体" w:hAnsi="宋体" w:cs="宋体"/>
          <w:color w:val="000000"/>
          <w:sz w:val="24"/>
          <w:szCs w:val="24"/>
        </w:rPr>
        <w:t>经公开招标，确定乙方为</w:t>
      </w:r>
      <w:r>
        <w:rPr>
          <w:rFonts w:hint="eastAsia" w:ascii="宋体" w:hAnsi="宋体" w:cs="宋体"/>
          <w:color w:val="000000"/>
          <w:sz w:val="24"/>
          <w:szCs w:val="24"/>
          <w:u w:val="single"/>
        </w:rPr>
        <w:fldChar w:fldCharType="begin"/>
      </w:r>
      <w:r>
        <w:rPr>
          <w:rFonts w:hint="eastAsia" w:ascii="宋体" w:hAnsi="宋体" w:cs="宋体"/>
          <w:color w:val="000000"/>
          <w:sz w:val="24"/>
          <w:szCs w:val="24"/>
          <w:u w:val="single"/>
        </w:rPr>
        <w:instrText xml:space="preserve"> HYPERLINK "https://bidding.zcygov.cn/xmgl/projectQuery/queryDetail?projectUuid=5d642867c3a3f0d5&amp;utm=bidding-entrust-front.62f570f9.0.0.c451ad501e3111ebbd1609eeea210666" \t "https://www.zcygov.cn/bidding-entrust/" \l "/purchaseFileMake/_blank" </w:instrText>
      </w:r>
      <w:r>
        <w:rPr>
          <w:rFonts w:hint="eastAsia" w:ascii="宋体" w:hAnsi="宋体" w:cs="宋体"/>
          <w:color w:val="000000"/>
          <w:sz w:val="24"/>
          <w:szCs w:val="24"/>
          <w:u w:val="single"/>
        </w:rPr>
        <w:fldChar w:fldCharType="separate"/>
      </w:r>
      <w:r>
        <w:rPr>
          <w:rFonts w:hint="eastAsia" w:ascii="宋体" w:hAnsi="宋体" w:cs="宋体"/>
          <w:color w:val="000000"/>
          <w:sz w:val="24"/>
          <w:szCs w:val="24"/>
          <w:u w:val="single"/>
          <w:lang w:eastAsia="zh-CN"/>
        </w:rPr>
        <w:t>2024年西塘桥街道公共环境病媒生物防治服务</w:t>
      </w:r>
      <w:r>
        <w:rPr>
          <w:rFonts w:hint="eastAsia" w:ascii="宋体" w:hAnsi="宋体" w:cs="宋体"/>
          <w:color w:val="000000"/>
          <w:sz w:val="24"/>
          <w:szCs w:val="24"/>
          <w:u w:val="single"/>
        </w:rPr>
        <w:fldChar w:fldCharType="end"/>
      </w:r>
      <w:r>
        <w:rPr>
          <w:rFonts w:hint="eastAsia" w:ascii="宋体" w:hAnsi="宋体" w:cs="宋体"/>
          <w:color w:val="000000"/>
          <w:sz w:val="24"/>
          <w:szCs w:val="24"/>
        </w:rPr>
        <w:t>中标单位，根据</w:t>
      </w:r>
      <w:r>
        <w:rPr>
          <w:rFonts w:hint="eastAsia" w:ascii="宋体" w:hAnsi="宋体" w:cs="宋体"/>
          <w:color w:val="000000"/>
          <w:sz w:val="24"/>
          <w:szCs w:val="24"/>
          <w:u w:val="single"/>
        </w:rPr>
        <w:fldChar w:fldCharType="begin"/>
      </w:r>
      <w:r>
        <w:rPr>
          <w:rFonts w:hint="eastAsia" w:ascii="宋体" w:hAnsi="宋体" w:cs="宋体"/>
          <w:color w:val="000000"/>
          <w:sz w:val="24"/>
          <w:szCs w:val="24"/>
          <w:u w:val="single"/>
        </w:rPr>
        <w:instrText xml:space="preserve"> HYPERLINK "https://bidding.zcygov.cn/xmgl/projectQuery/queryDetail?projectUuid=5d642867c3a3f0d5&amp;utm=bidding-entrust-front.62f570f9.0.0.c451ad501e3111ebbd1609eeea210666" \t "https://www.zcygov.cn/bidding-entrust/" \l "/purchaseFileMake/_blank" </w:instrText>
      </w:r>
      <w:r>
        <w:rPr>
          <w:rFonts w:hint="eastAsia" w:ascii="宋体" w:hAnsi="宋体" w:cs="宋体"/>
          <w:color w:val="000000"/>
          <w:sz w:val="24"/>
          <w:szCs w:val="24"/>
          <w:u w:val="single"/>
        </w:rPr>
        <w:fldChar w:fldCharType="separate"/>
      </w:r>
      <w:r>
        <w:rPr>
          <w:rFonts w:hint="eastAsia" w:ascii="宋体" w:hAnsi="宋体" w:cs="宋体"/>
          <w:color w:val="000000"/>
          <w:sz w:val="24"/>
          <w:szCs w:val="24"/>
          <w:u w:val="single"/>
          <w:lang w:eastAsia="zh-CN"/>
        </w:rPr>
        <w:t>2024年西塘桥街道公共环境病媒生物防治服务</w:t>
      </w:r>
      <w:r>
        <w:rPr>
          <w:rFonts w:hint="eastAsia" w:ascii="宋体" w:hAnsi="宋体" w:cs="宋体"/>
          <w:color w:val="000000"/>
          <w:sz w:val="24"/>
          <w:szCs w:val="24"/>
          <w:u w:val="single"/>
        </w:rPr>
        <w:fldChar w:fldCharType="end"/>
      </w:r>
      <w:r>
        <w:rPr>
          <w:rFonts w:hint="eastAsia" w:ascii="宋体" w:hAnsi="宋体" w:cs="宋体"/>
          <w:color w:val="000000"/>
          <w:sz w:val="24"/>
          <w:szCs w:val="24"/>
        </w:rPr>
        <w:t>招投标内容，结合海盐实际，经甲、乙双方协商，达成以下条款：</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bookmarkStart w:id="12" w:name="_Toc3126"/>
      <w:r>
        <w:rPr>
          <w:rFonts w:hint="eastAsia" w:ascii="宋体" w:hAnsi="宋体" w:cs="Arial"/>
          <w:b/>
          <w:kern w:val="0"/>
          <w:sz w:val="24"/>
          <w:szCs w:val="24"/>
        </w:rPr>
        <w:t>第一条 合同组成</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本次政府采购活动的相关文件为本合同的组成部分，这些文件包括但不限于：</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（1）本合同文本；</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（2）采购文件与采购响应文件；</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（3）中标或成交通知书；</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组成本合同的所有文件必须为书面形式。政府采购合同备案时，须提供以上（1）、（3）两项，如由社会中介机构代理，须提供代理协议，合同如有变更的，须提供变更协议。</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第二条 合同标的与相关属性</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1、本次采购的是</w:t>
      </w:r>
      <w:r>
        <w:rPr>
          <w:rFonts w:hint="eastAsia" w:ascii="宋体" w:hAnsi="宋体" w:cs="Arial"/>
          <w:sz w:val="24"/>
          <w:szCs w:val="24"/>
          <w:u w:val="single"/>
        </w:rPr>
        <w:t>灭鼠、灭蚊、灭蝇、灭蟑螂相关消杀服务</w:t>
      </w:r>
      <w:r>
        <w:rPr>
          <w:rFonts w:hint="eastAsia" w:ascii="宋体" w:hAnsi="宋体" w:cs="Arial"/>
          <w:kern w:val="0"/>
          <w:sz w:val="24"/>
          <w:szCs w:val="24"/>
        </w:rPr>
        <w:t>。</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2、乙方是否属于中小微企业：□是□否</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第三条 合同价款</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1、本合同项下总价款为（大写）</w:t>
      </w:r>
      <w:r>
        <w:rPr>
          <w:rFonts w:hint="eastAsia" w:ascii="宋体" w:hAnsi="宋体" w:cs="Arial"/>
          <w:kern w:val="0"/>
          <w:sz w:val="24"/>
          <w:szCs w:val="24"/>
          <w:u w:val="single"/>
        </w:rPr>
        <w:t xml:space="preserve">              </w:t>
      </w:r>
      <w:r>
        <w:rPr>
          <w:rFonts w:hint="eastAsia" w:ascii="宋体" w:hAnsi="宋体" w:cs="Arial"/>
          <w:kern w:val="0"/>
          <w:sz w:val="24"/>
          <w:szCs w:val="24"/>
        </w:rPr>
        <w:t>人民币。</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2、</w:t>
      </w:r>
      <w:r>
        <w:rPr>
          <w:rFonts w:hint="eastAsia" w:hAnsi="宋体"/>
          <w:sz w:val="24"/>
          <w:szCs w:val="24"/>
        </w:rPr>
        <w:t>合同价格为</w:t>
      </w:r>
      <w:r>
        <w:rPr>
          <w:rFonts w:hAnsi="宋体"/>
          <w:sz w:val="24"/>
          <w:szCs w:val="24"/>
        </w:rPr>
        <w:t>履行合同的最终价格，</w:t>
      </w:r>
      <w:r>
        <w:rPr>
          <w:rFonts w:hint="eastAsia" w:hAnsi="宋体"/>
          <w:sz w:val="24"/>
          <w:szCs w:val="24"/>
        </w:rPr>
        <w:t>应包括招标文件中所要求的</w:t>
      </w:r>
      <w:r>
        <w:rPr>
          <w:rFonts w:hAnsi="宋体"/>
          <w:sz w:val="24"/>
          <w:szCs w:val="24"/>
        </w:rPr>
        <w:t>承包</w:t>
      </w:r>
      <w:r>
        <w:rPr>
          <w:rFonts w:hint="eastAsia" w:hAnsi="宋体"/>
          <w:sz w:val="24"/>
          <w:szCs w:val="24"/>
        </w:rPr>
        <w:t>服务范围内所有消杀服务所需的药物、器械、人工、运杂、税金（包含关税</w:t>
      </w:r>
      <w:r>
        <w:rPr>
          <w:rFonts w:hint="eastAsia" w:hAnsi="宋体"/>
          <w:sz w:val="24"/>
          <w:szCs w:val="24"/>
          <w:lang w:eastAsia="zh-CN"/>
        </w:rPr>
        <w:t>，</w:t>
      </w:r>
      <w:r>
        <w:rPr>
          <w:rFonts w:hint="eastAsia" w:hAnsi="宋体"/>
          <w:sz w:val="24"/>
          <w:szCs w:val="24"/>
        </w:rPr>
        <w:t>由供应商承担的）、相关服务承诺等各项可能涉及的费用。以及</w:t>
      </w:r>
      <w:r>
        <w:rPr>
          <w:rFonts w:hAnsi="宋体"/>
          <w:sz w:val="24"/>
          <w:szCs w:val="24"/>
        </w:rPr>
        <w:t>完成合同所需的一切本身和不可或缺的所有工作开支、政策性文件规定及合同包含的所有风险、责任等各项全部费用并承担一切风险责任</w:t>
      </w:r>
      <w:r>
        <w:rPr>
          <w:rFonts w:hint="eastAsia" w:hAnsi="宋体"/>
          <w:sz w:val="24"/>
          <w:szCs w:val="24"/>
        </w:rPr>
        <w:t>。</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3、本合同付款方式为以下第</w:t>
      </w:r>
      <w:r>
        <w:rPr>
          <w:rFonts w:hint="eastAsia" w:ascii="宋体" w:hAnsi="宋体" w:cs="Arial"/>
          <w:kern w:val="0"/>
          <w:sz w:val="24"/>
          <w:szCs w:val="24"/>
          <w:u w:val="single"/>
        </w:rPr>
        <w:t xml:space="preserve">   （1）   </w:t>
      </w:r>
      <w:r>
        <w:rPr>
          <w:rFonts w:hint="eastAsia" w:ascii="宋体" w:hAnsi="宋体" w:cs="Arial"/>
          <w:kern w:val="0"/>
          <w:sz w:val="24"/>
          <w:szCs w:val="24"/>
        </w:rPr>
        <w:t>项：</w:t>
      </w:r>
    </w:p>
    <w:p>
      <w:pPr>
        <w:keepNext w:val="0"/>
        <w:keepLines w:val="0"/>
        <w:pageBreakBefore w:val="0"/>
        <w:kinsoku/>
        <w:wordWrap/>
        <w:overflowPunct/>
        <w:topLinePunct w:val="0"/>
        <w:autoSpaceDE/>
        <w:autoSpaceDN/>
        <w:bidi w:val="0"/>
        <w:adjustRightInd/>
        <w:spacing w:line="360" w:lineRule="auto"/>
        <w:ind w:left="0" w:leftChars="0" w:firstLine="473" w:firstLineChars="196"/>
        <w:textAlignment w:val="auto"/>
        <w:rPr>
          <w:rFonts w:hint="eastAsia" w:ascii="宋体" w:hAnsi="宋体" w:cs="Arial"/>
          <w:kern w:val="0"/>
          <w:sz w:val="24"/>
          <w:szCs w:val="24"/>
        </w:rPr>
      </w:pPr>
      <w:r>
        <w:rPr>
          <w:rFonts w:hint="eastAsia" w:ascii="宋体" w:hAnsi="宋体" w:cs="Arial"/>
          <w:kern w:val="0"/>
          <w:sz w:val="24"/>
          <w:szCs w:val="24"/>
        </w:rPr>
        <w:t>（1）本合同项下的采购资金系甲方自行支付，付款程序为</w:t>
      </w:r>
      <w:r>
        <w:rPr>
          <w:rFonts w:hint="eastAsia" w:ascii="宋体" w:hAnsi="宋体" w:cs="Arial"/>
          <w:color w:val="auto"/>
          <w:kern w:val="0"/>
          <w:sz w:val="24"/>
          <w:szCs w:val="24"/>
          <w:u w:val="single"/>
          <w:lang w:val="en-US" w:eastAsia="zh-CN"/>
        </w:rPr>
        <w:t>合同生效以及具备实施条件后7个工作日内支付签订合同后支付合同价的70％，第一、二季度在预付款中按考核后的支付金额扣除，第三季度按考核后的支付金额在扣除预付款后不够的部分转账支付，第四季度根据年终综合考核结果进行转账支付</w:t>
      </w:r>
      <w:r>
        <w:rPr>
          <w:rFonts w:hint="eastAsia" w:ascii="宋体" w:hAnsi="宋体" w:cs="Arial"/>
          <w:kern w:val="0"/>
          <w:sz w:val="24"/>
          <w:szCs w:val="24"/>
        </w:rPr>
        <w:t>；</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（2）本合同项下的采购资金须财政直接支付，付款程序为</w:t>
      </w:r>
      <w:r>
        <w:rPr>
          <w:rFonts w:hint="eastAsia" w:ascii="宋体" w:hAnsi="宋体" w:cs="Arial"/>
          <w:kern w:val="0"/>
          <w:sz w:val="24"/>
          <w:szCs w:val="24"/>
          <w:u w:val="single"/>
        </w:rPr>
        <w:t xml:space="preserve">                    </w:t>
      </w:r>
      <w:r>
        <w:rPr>
          <w:rFonts w:hint="eastAsia" w:ascii="宋体" w:hAnsi="宋体" w:cs="Arial"/>
          <w:kern w:val="0"/>
          <w:sz w:val="24"/>
          <w:szCs w:val="24"/>
        </w:rPr>
        <w:t>；</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（3）其他方式：</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4、本合同项下的采购资金付款进度按招投标文件规定，未规定时按以下第</w:t>
      </w:r>
      <w:r>
        <w:rPr>
          <w:rFonts w:hint="eastAsia" w:ascii="宋体" w:hAnsi="宋体" w:cs="Arial"/>
          <w:kern w:val="0"/>
          <w:sz w:val="24"/>
          <w:szCs w:val="24"/>
          <w:u w:val="single"/>
        </w:rPr>
        <w:t xml:space="preserve">    （</w:t>
      </w:r>
      <w:r>
        <w:rPr>
          <w:rFonts w:hint="eastAsia" w:ascii="宋体" w:hAnsi="宋体" w:cs="Arial"/>
          <w:kern w:val="0"/>
          <w:sz w:val="24"/>
          <w:szCs w:val="24"/>
          <w:u w:val="single"/>
          <w:lang w:val="en-US" w:eastAsia="zh-CN"/>
        </w:rPr>
        <w:t>2</w:t>
      </w:r>
      <w:r>
        <w:rPr>
          <w:rFonts w:hint="eastAsia" w:ascii="宋体" w:hAnsi="宋体" w:cs="Arial"/>
          <w:kern w:val="0"/>
          <w:sz w:val="24"/>
          <w:szCs w:val="24"/>
          <w:u w:val="single"/>
        </w:rPr>
        <w:t xml:space="preserve">）    </w:t>
      </w:r>
      <w:r>
        <w:rPr>
          <w:rFonts w:hint="eastAsia" w:ascii="宋体" w:hAnsi="宋体" w:cs="Arial"/>
          <w:kern w:val="0"/>
          <w:sz w:val="24"/>
          <w:szCs w:val="24"/>
        </w:rPr>
        <w:t xml:space="preserve"> 项支付：</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（1）一次性付款：乙方合同履行达到</w:t>
      </w:r>
      <w:r>
        <w:rPr>
          <w:rFonts w:hint="eastAsia" w:ascii="宋体" w:hAnsi="宋体" w:cs="Arial"/>
          <w:kern w:val="0"/>
          <w:sz w:val="24"/>
          <w:szCs w:val="24"/>
          <w:u w:val="single"/>
          <w:lang w:val="en-US" w:eastAsia="zh-CN"/>
        </w:rPr>
        <w:t xml:space="preserve"> / </w:t>
      </w:r>
      <w:r>
        <w:rPr>
          <w:rFonts w:hint="eastAsia" w:ascii="宋体" w:hAnsi="宋体" w:cs="Arial"/>
          <w:kern w:val="0"/>
          <w:sz w:val="24"/>
          <w:szCs w:val="24"/>
        </w:rPr>
        <w:t>（条件）时，一次性付款；</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（2）分期</w:t>
      </w:r>
      <w:r>
        <w:rPr>
          <w:rFonts w:hint="eastAsia" w:ascii="宋体" w:hAnsi="宋体" w:cs="Arial"/>
          <w:kern w:val="0"/>
          <w:sz w:val="24"/>
          <w:szCs w:val="24"/>
          <w:highlight w:val="none"/>
        </w:rPr>
        <w:t>付款</w:t>
      </w:r>
      <w:r>
        <w:rPr>
          <w:rFonts w:hint="eastAsia" w:ascii="宋体" w:hAnsi="宋体" w:cs="Arial"/>
          <w:kern w:val="0"/>
          <w:sz w:val="24"/>
          <w:szCs w:val="24"/>
          <w:highlight w:val="none"/>
          <w:lang w:eastAsia="zh-CN"/>
        </w:rPr>
        <w:t>：</w:t>
      </w:r>
      <w:r>
        <w:rPr>
          <w:rFonts w:hint="eastAsia" w:ascii="宋体" w:hAnsi="宋体" w:cs="Arial"/>
          <w:color w:val="auto"/>
          <w:kern w:val="0"/>
          <w:sz w:val="24"/>
          <w:szCs w:val="24"/>
          <w:highlight w:val="none"/>
          <w:u w:val="single"/>
          <w:lang w:val="en-US" w:eastAsia="zh-CN"/>
        </w:rPr>
        <w:t>合同生效以及具备实施条件后7个工作日内支付签订合同后支付合同价的70％，第一、二季度在预付款中按考核后的支付金额扣除，第三季度按考核后的支付金额在扣除预付款后不够的部分转账支付，第四季度根据年终综合考核结果进行转账支付。</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第四条 履约保证金</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kern w:val="0"/>
          <w:sz w:val="24"/>
          <w:szCs w:val="24"/>
        </w:rPr>
        <w:t>按以下第</w:t>
      </w:r>
      <w:r>
        <w:rPr>
          <w:rFonts w:hint="eastAsia" w:ascii="宋体" w:hAnsi="宋体" w:cs="Arial"/>
          <w:kern w:val="0"/>
          <w:sz w:val="24"/>
          <w:szCs w:val="24"/>
          <w:u w:val="single"/>
        </w:rPr>
        <w:t xml:space="preserve">  (</w:t>
      </w:r>
      <w:r>
        <w:rPr>
          <w:rFonts w:hint="eastAsia" w:ascii="宋体" w:hAnsi="宋体" w:cs="Arial"/>
          <w:kern w:val="0"/>
          <w:sz w:val="24"/>
          <w:szCs w:val="24"/>
          <w:u w:val="single"/>
          <w:lang w:val="en-US" w:eastAsia="zh-CN"/>
        </w:rPr>
        <w:t>2</w:t>
      </w:r>
      <w:r>
        <w:rPr>
          <w:rFonts w:hint="eastAsia" w:ascii="宋体" w:hAnsi="宋体" w:cs="Arial"/>
          <w:kern w:val="0"/>
          <w:sz w:val="24"/>
          <w:szCs w:val="24"/>
          <w:u w:val="single"/>
        </w:rPr>
        <w:t xml:space="preserve">)  </w:t>
      </w:r>
      <w:r>
        <w:rPr>
          <w:rFonts w:hint="eastAsia" w:ascii="宋体" w:hAnsi="宋体" w:cs="Arial"/>
          <w:kern w:val="0"/>
          <w:sz w:val="24"/>
          <w:szCs w:val="24"/>
        </w:rPr>
        <w:t>项处理：</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1、本项目设置履约保证金，乙方应于</w:t>
      </w:r>
      <w:r>
        <w:rPr>
          <w:rFonts w:hint="eastAsia" w:ascii="宋体" w:hAnsi="宋体"/>
          <w:sz w:val="24"/>
          <w:szCs w:val="24"/>
          <w:u w:val="single"/>
        </w:rPr>
        <w:t>中标通知书发出7日内</w:t>
      </w:r>
      <w:r>
        <w:rPr>
          <w:rFonts w:hint="eastAsia" w:ascii="宋体" w:hAnsi="宋体" w:cs="Arial"/>
          <w:kern w:val="0"/>
          <w:sz w:val="24"/>
          <w:szCs w:val="24"/>
        </w:rPr>
        <w:t>（时间）向甲方提交履约保证金</w:t>
      </w:r>
      <w:r>
        <w:rPr>
          <w:rFonts w:hint="eastAsia" w:ascii="宋体" w:hAnsi="宋体" w:cs="Arial"/>
          <w:kern w:val="0"/>
          <w:sz w:val="24"/>
          <w:szCs w:val="24"/>
          <w:u w:val="single"/>
        </w:rPr>
        <w:t xml:space="preserve"> </w:t>
      </w:r>
      <w:r>
        <w:rPr>
          <w:rFonts w:hint="eastAsia" w:ascii="宋体" w:hAnsi="宋体" w:cs="Arial"/>
          <w:kern w:val="0"/>
          <w:sz w:val="24"/>
          <w:szCs w:val="24"/>
          <w:u w:val="single"/>
          <w:lang w:val="en-US" w:eastAsia="zh-CN"/>
        </w:rPr>
        <w:t>/</w:t>
      </w:r>
      <w:r>
        <w:rPr>
          <w:rFonts w:hint="eastAsia" w:ascii="宋体" w:hAnsi="宋体" w:cs="Arial"/>
          <w:kern w:val="0"/>
          <w:sz w:val="24"/>
          <w:szCs w:val="24"/>
          <w:u w:val="single"/>
        </w:rPr>
        <w:t xml:space="preserve">  </w:t>
      </w:r>
      <w:r>
        <w:rPr>
          <w:rFonts w:hint="eastAsia" w:ascii="宋体" w:hAnsi="宋体" w:cs="Arial"/>
          <w:kern w:val="0"/>
          <w:sz w:val="24"/>
          <w:szCs w:val="24"/>
        </w:rPr>
        <w:t>元。履约保证金在</w:t>
      </w:r>
      <w:r>
        <w:rPr>
          <w:rFonts w:hint="eastAsia" w:ascii="宋体" w:hAnsi="宋体"/>
          <w:sz w:val="24"/>
          <w:szCs w:val="24"/>
        </w:rPr>
        <w:t>合同履行完毕后，一次性无息退还。</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kern w:val="0"/>
          <w:sz w:val="24"/>
          <w:szCs w:val="24"/>
        </w:rPr>
        <w:t>2、本项目不设置履约保证金</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第五条 合同的变更和终止</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除《政府采购法》第49条、第50条第二款规定的情形外，本合同一经签订，甲乙双方不得擅自终止合同或对合同实质性条款进行变更。确有特殊情况的，须经同级财政部门备案同意，如果第三方评估不达标或考核不通过即终止合同。</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第六条 合同的转让与分包</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乙方不得擅自部分或全部转让其应履行的合同义务。乙方分包的，应经过甲方书面同意。</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第七条 违约责任</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1、乙方未按</w:t>
      </w:r>
      <w:r>
        <w:rPr>
          <w:rFonts w:hint="eastAsia" w:ascii="宋体" w:hAnsi="宋体" w:cs="Arial"/>
          <w:kern w:val="0"/>
          <w:sz w:val="24"/>
          <w:szCs w:val="24"/>
          <w:lang w:eastAsia="zh-CN"/>
        </w:rPr>
        <w:t>采购内容要求</w:t>
      </w:r>
      <w:r>
        <w:rPr>
          <w:rFonts w:hint="eastAsia" w:ascii="宋体" w:hAnsi="宋体" w:cs="Arial"/>
          <w:kern w:val="0"/>
          <w:sz w:val="24"/>
          <w:szCs w:val="24"/>
        </w:rPr>
        <w:t>执行，甲方可以书面形式提出警告；若情节严重，确认乙方未达到承包质量要求的，即时终止合同，支付违约金人民币</w:t>
      </w:r>
      <w:r>
        <w:rPr>
          <w:rFonts w:hint="eastAsia" w:ascii="宋体" w:hAnsi="宋体" w:cs="Arial"/>
          <w:kern w:val="0"/>
          <w:sz w:val="24"/>
          <w:szCs w:val="24"/>
          <w:lang w:val="en-US" w:eastAsia="zh-CN"/>
        </w:rPr>
        <w:t>20</w:t>
      </w:r>
      <w:r>
        <w:rPr>
          <w:rFonts w:hint="eastAsia" w:ascii="宋体" w:hAnsi="宋体" w:cs="Arial"/>
          <w:kern w:val="0"/>
          <w:sz w:val="24"/>
          <w:szCs w:val="24"/>
        </w:rPr>
        <w:t>000元。</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2、甲方每季度考核，乙方未能达到承包质量要求的，给予书面警告、并限期改正，在限期内整改达到合同要求的，扣当季承包金额的2-8%；未在限期内改正，或经两次整改后仍不能达到合同要求的，即时终止合同，余下部分不再执行，支付违约金人民币</w:t>
      </w:r>
      <w:r>
        <w:rPr>
          <w:rFonts w:hint="eastAsia" w:ascii="宋体" w:hAnsi="宋体" w:cs="Arial"/>
          <w:kern w:val="0"/>
          <w:sz w:val="24"/>
          <w:szCs w:val="24"/>
          <w:lang w:val="en-US" w:eastAsia="zh-CN"/>
        </w:rPr>
        <w:t>20</w:t>
      </w:r>
      <w:r>
        <w:rPr>
          <w:rFonts w:hint="eastAsia" w:ascii="宋体" w:hAnsi="宋体" w:cs="Arial"/>
          <w:kern w:val="0"/>
          <w:sz w:val="24"/>
          <w:szCs w:val="24"/>
        </w:rPr>
        <w:t>000元。</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kern w:val="0"/>
          <w:sz w:val="24"/>
          <w:szCs w:val="24"/>
        </w:rPr>
        <w:t>3、甲方不按第</w:t>
      </w:r>
      <w:r>
        <w:rPr>
          <w:rFonts w:hint="eastAsia" w:ascii="宋体" w:hAnsi="宋体" w:cs="Arial"/>
          <w:kern w:val="0"/>
          <w:sz w:val="24"/>
          <w:szCs w:val="24"/>
          <w:lang w:eastAsia="zh-CN"/>
        </w:rPr>
        <w:t>四</w:t>
      </w:r>
      <w:r>
        <w:rPr>
          <w:rFonts w:hint="eastAsia" w:ascii="宋体" w:hAnsi="宋体" w:cs="Arial"/>
          <w:kern w:val="0"/>
          <w:sz w:val="24"/>
          <w:szCs w:val="24"/>
        </w:rPr>
        <w:t>条</w:t>
      </w:r>
      <w:r>
        <w:rPr>
          <w:rFonts w:hint="eastAsia" w:ascii="宋体" w:hAnsi="宋体" w:cs="Arial"/>
          <w:kern w:val="0"/>
          <w:sz w:val="24"/>
          <w:szCs w:val="24"/>
          <w:lang w:eastAsia="zh-CN"/>
        </w:rPr>
        <w:t>第</w:t>
      </w:r>
      <w:r>
        <w:rPr>
          <w:rFonts w:hint="eastAsia" w:ascii="宋体" w:hAnsi="宋体" w:cs="Arial"/>
          <w:kern w:val="0"/>
          <w:sz w:val="24"/>
          <w:szCs w:val="24"/>
          <w:lang w:val="en-US" w:eastAsia="zh-CN"/>
        </w:rPr>
        <w:t>3款项</w:t>
      </w:r>
      <w:r>
        <w:rPr>
          <w:rFonts w:hint="eastAsia" w:ascii="宋体" w:hAnsi="宋体" w:cs="Arial"/>
          <w:kern w:val="0"/>
          <w:sz w:val="24"/>
          <w:szCs w:val="24"/>
        </w:rPr>
        <w:t>规定执行，乙方有权向甲方提出要求，也可向甲方上级部门申诉，督促甲方执行。</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第八条 不可抗力事件处理</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ascii="宋体" w:hAnsi="宋体" w:cs="Arial"/>
          <w:kern w:val="0"/>
          <w:sz w:val="24"/>
          <w:szCs w:val="24"/>
        </w:rPr>
        <w:t>1</w:t>
      </w:r>
      <w:r>
        <w:rPr>
          <w:rFonts w:hint="eastAsia" w:ascii="宋体" w:hAnsi="宋体" w:cs="Arial"/>
          <w:kern w:val="0"/>
          <w:sz w:val="24"/>
          <w:szCs w:val="24"/>
        </w:rPr>
        <w:t>、在合同有效期内，任何一方因不可抗力事件导致不能履行合同的，合同履行期可延长，其延长期与不可抗力影响期相同。</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ascii="宋体" w:hAnsi="宋体" w:cs="Arial"/>
          <w:kern w:val="0"/>
          <w:sz w:val="24"/>
          <w:szCs w:val="24"/>
        </w:rPr>
      </w:pPr>
      <w:r>
        <w:rPr>
          <w:rFonts w:ascii="宋体" w:hAnsi="宋体" w:cs="Arial"/>
          <w:kern w:val="0"/>
          <w:sz w:val="24"/>
          <w:szCs w:val="24"/>
        </w:rPr>
        <w:t>2</w:t>
      </w:r>
      <w:r>
        <w:rPr>
          <w:rFonts w:hint="eastAsia" w:ascii="宋体" w:hAnsi="宋体" w:cs="Arial"/>
          <w:kern w:val="0"/>
          <w:sz w:val="24"/>
          <w:szCs w:val="24"/>
        </w:rPr>
        <w:t>、不可抗力事件发生后，应立即通知对方，并寄送有关权威机构出具的证明。</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ascii="宋体" w:hAnsi="宋体" w:cs="Arial"/>
          <w:kern w:val="0"/>
          <w:sz w:val="24"/>
          <w:szCs w:val="24"/>
        </w:rPr>
        <w:t>3</w:t>
      </w:r>
      <w:r>
        <w:rPr>
          <w:rFonts w:hint="eastAsia" w:ascii="宋体" w:hAnsi="宋体" w:cs="Arial"/>
          <w:kern w:val="0"/>
          <w:sz w:val="24"/>
          <w:szCs w:val="24"/>
        </w:rPr>
        <w:t>、不可抗力事件延续</w:t>
      </w:r>
      <w:r>
        <w:rPr>
          <w:rFonts w:ascii="宋体" w:hAnsi="宋体" w:cs="Arial"/>
          <w:kern w:val="0"/>
          <w:sz w:val="24"/>
          <w:szCs w:val="24"/>
        </w:rPr>
        <w:t>120</w:t>
      </w:r>
      <w:r>
        <w:rPr>
          <w:rFonts w:hint="eastAsia" w:ascii="宋体" w:hAnsi="宋体" w:cs="Arial"/>
          <w:kern w:val="0"/>
          <w:sz w:val="24"/>
          <w:szCs w:val="24"/>
        </w:rPr>
        <w:t>天以上，双方应通过友好协商，确定是否继续履行合同。</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第九条 争议的解决</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1、因履行本合同引起的或与本合同有关的争议，甲、乙双方应首先通过友好协商解决，如果协商不能解决争议，则采取以下第</w:t>
      </w:r>
      <w:r>
        <w:rPr>
          <w:rFonts w:hint="eastAsia" w:ascii="宋体" w:hAnsi="宋体" w:cs="Arial"/>
          <w:kern w:val="0"/>
          <w:sz w:val="24"/>
          <w:szCs w:val="24"/>
          <w:u w:val="single"/>
        </w:rPr>
        <w:t>（1）</w:t>
      </w:r>
      <w:r>
        <w:rPr>
          <w:rFonts w:hint="eastAsia" w:ascii="宋体" w:hAnsi="宋体" w:cs="Arial"/>
          <w:kern w:val="0"/>
          <w:sz w:val="24"/>
          <w:szCs w:val="24"/>
        </w:rPr>
        <w:t>种方式解决争议：</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（1）向甲方所在地有管辖权的人民法院提起诉讼；</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（2）向</w:t>
      </w:r>
      <w:r>
        <w:rPr>
          <w:rFonts w:hint="eastAsia" w:ascii="宋体" w:hAnsi="宋体" w:cs="Arial"/>
          <w:kern w:val="0"/>
          <w:sz w:val="24"/>
          <w:szCs w:val="24"/>
          <w:u w:val="single"/>
        </w:rPr>
        <w:t xml:space="preserve">         </w:t>
      </w:r>
      <w:r>
        <w:rPr>
          <w:rFonts w:hint="eastAsia" w:ascii="宋体" w:hAnsi="宋体" w:cs="Arial"/>
          <w:kern w:val="0"/>
          <w:sz w:val="24"/>
          <w:szCs w:val="24"/>
        </w:rPr>
        <w:t>仲裁委员申请仲裁。</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第十条 合同备案及其他</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kern w:val="0"/>
          <w:sz w:val="24"/>
          <w:szCs w:val="24"/>
        </w:rPr>
      </w:pPr>
      <w:r>
        <w:rPr>
          <w:rFonts w:hint="eastAsia" w:ascii="宋体" w:hAnsi="宋体" w:cs="Arial"/>
          <w:kern w:val="0"/>
          <w:sz w:val="24"/>
          <w:szCs w:val="24"/>
        </w:rPr>
        <w:t>本合同一式</w:t>
      </w:r>
      <w:r>
        <w:rPr>
          <w:rFonts w:hint="eastAsia" w:ascii="宋体" w:hAnsi="宋体" w:cs="Arial"/>
          <w:kern w:val="0"/>
          <w:sz w:val="24"/>
          <w:szCs w:val="24"/>
          <w:u w:val="single"/>
        </w:rPr>
        <w:t xml:space="preserve"> </w:t>
      </w:r>
      <w:r>
        <w:rPr>
          <w:rFonts w:hint="eastAsia" w:ascii="宋体" w:hAnsi="宋体" w:cs="Arial"/>
          <w:kern w:val="0"/>
          <w:sz w:val="24"/>
          <w:szCs w:val="24"/>
          <w:u w:val="single"/>
          <w:lang w:eastAsia="zh-CN"/>
        </w:rPr>
        <w:t>五</w:t>
      </w:r>
      <w:r>
        <w:rPr>
          <w:rFonts w:hint="eastAsia" w:ascii="宋体" w:hAnsi="宋体" w:cs="Arial"/>
          <w:kern w:val="0"/>
          <w:sz w:val="24"/>
          <w:szCs w:val="24"/>
        </w:rPr>
        <w:t>份，甲乙双方各执</w:t>
      </w:r>
      <w:r>
        <w:rPr>
          <w:rFonts w:hint="eastAsia" w:ascii="宋体" w:hAnsi="宋体" w:cs="Arial"/>
          <w:kern w:val="0"/>
          <w:sz w:val="24"/>
          <w:szCs w:val="24"/>
          <w:u w:val="single"/>
        </w:rPr>
        <w:t xml:space="preserve"> 贰 </w:t>
      </w:r>
      <w:r>
        <w:rPr>
          <w:rFonts w:hint="eastAsia" w:ascii="宋体" w:hAnsi="宋体" w:cs="Arial"/>
          <w:kern w:val="0"/>
          <w:sz w:val="24"/>
          <w:szCs w:val="24"/>
        </w:rPr>
        <w:t>份，</w:t>
      </w:r>
      <w:r>
        <w:rPr>
          <w:rFonts w:hint="eastAsia" w:ascii="宋体" w:hAnsi="宋体" w:cs="Arial"/>
          <w:kern w:val="0"/>
          <w:sz w:val="24"/>
          <w:szCs w:val="24"/>
          <w:lang w:eastAsia="zh-CN"/>
        </w:rPr>
        <w:t>壹</w:t>
      </w:r>
      <w:r>
        <w:rPr>
          <w:rFonts w:hint="eastAsia" w:ascii="宋体" w:hAnsi="宋体" w:cs="Arial"/>
          <w:kern w:val="0"/>
          <w:sz w:val="24"/>
          <w:szCs w:val="24"/>
        </w:rPr>
        <w:t>份送</w:t>
      </w:r>
      <w:r>
        <w:rPr>
          <w:rFonts w:hint="eastAsia" w:ascii="宋体" w:hAnsi="宋体" w:cs="Arial"/>
          <w:kern w:val="0"/>
          <w:sz w:val="24"/>
          <w:szCs w:val="24"/>
          <w:lang w:eastAsia="zh-CN"/>
        </w:rPr>
        <w:t>代理机构</w:t>
      </w:r>
      <w:r>
        <w:rPr>
          <w:rFonts w:hint="eastAsia" w:ascii="宋体" w:hAnsi="宋体" w:cs="Arial"/>
          <w:kern w:val="0"/>
          <w:sz w:val="24"/>
          <w:szCs w:val="24"/>
        </w:rPr>
        <w:t>备案。</w:t>
      </w:r>
    </w:p>
    <w:p>
      <w:pPr>
        <w:keepNext w:val="0"/>
        <w:keepLines w:val="0"/>
        <w:pageBreakBefore w:val="0"/>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jc w:val="center"/>
        <w:textAlignment w:val="auto"/>
        <w:rPr>
          <w:rFonts w:hint="eastAsia" w:ascii="宋体" w:hAnsi="宋体" w:cs="Arial"/>
          <w:b/>
          <w:kern w:val="0"/>
          <w:sz w:val="24"/>
          <w:szCs w:val="24"/>
        </w:rPr>
      </w:pPr>
      <w:r>
        <w:rPr>
          <w:rFonts w:hint="eastAsia" w:ascii="宋体" w:hAnsi="宋体" w:cs="Arial"/>
          <w:b/>
          <w:kern w:val="0"/>
          <w:sz w:val="24"/>
          <w:szCs w:val="24"/>
        </w:rPr>
        <w:t>特殊专用条款部分</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第十一条 承包范围</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sz w:val="24"/>
          <w:szCs w:val="24"/>
          <w:highlight w:val="none"/>
        </w:rPr>
      </w:pPr>
      <w:r>
        <w:rPr>
          <w:rFonts w:hint="eastAsia"/>
          <w:sz w:val="24"/>
          <w:szCs w:val="24"/>
          <w:highlight w:val="none"/>
        </w:rPr>
        <w:t>本次采购项目为西塘桥街道</w:t>
      </w:r>
      <w:r>
        <w:rPr>
          <w:rFonts w:hint="eastAsia"/>
          <w:sz w:val="24"/>
          <w:szCs w:val="24"/>
          <w:highlight w:val="none"/>
          <w:lang w:val="en-US" w:eastAsia="zh-CN"/>
        </w:rPr>
        <w:t>下辖7个城市社区（包括东海社区、滨海社区、清湖社区、新港社区、海湾社区、海城社区、海景社区）</w:t>
      </w:r>
      <w:r>
        <w:rPr>
          <w:rFonts w:hint="eastAsia"/>
          <w:sz w:val="24"/>
          <w:szCs w:val="24"/>
          <w:highlight w:val="none"/>
        </w:rPr>
        <w:t>公共环境病媒生物防制服务</w:t>
      </w:r>
      <w:r>
        <w:rPr>
          <w:rFonts w:hint="eastAsia"/>
          <w:sz w:val="24"/>
          <w:szCs w:val="24"/>
          <w:highlight w:val="none"/>
          <w:lang w:eastAsia="zh-CN"/>
        </w:rPr>
        <w:t>（</w:t>
      </w:r>
      <w:r>
        <w:rPr>
          <w:rFonts w:hint="eastAsia"/>
          <w:sz w:val="24"/>
          <w:szCs w:val="24"/>
          <w:highlight w:val="none"/>
          <w:lang w:val="en-US" w:eastAsia="zh-CN"/>
        </w:rPr>
        <w:t>另含1年内建设新增的社区公共环境</w:t>
      </w:r>
      <w:r>
        <w:rPr>
          <w:rFonts w:hint="eastAsia"/>
          <w:sz w:val="24"/>
          <w:szCs w:val="24"/>
          <w:highlight w:val="none"/>
          <w:lang w:eastAsia="zh-CN"/>
        </w:rPr>
        <w:t>），</w:t>
      </w:r>
      <w:r>
        <w:rPr>
          <w:rFonts w:hint="eastAsia"/>
          <w:sz w:val="24"/>
          <w:szCs w:val="24"/>
          <w:highlight w:val="none"/>
          <w:lang w:val="en-US" w:eastAsia="zh-CN"/>
        </w:rPr>
        <w:t>服务频次：4月-11月每月四次，12月-3月每月两次</w:t>
      </w:r>
      <w:r>
        <w:rPr>
          <w:rFonts w:hint="eastAsia"/>
          <w:sz w:val="24"/>
          <w:szCs w:val="24"/>
          <w:highlight w:val="none"/>
        </w:rPr>
        <w:t>。</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第十二条</w:t>
      </w:r>
      <w:r>
        <w:rPr>
          <w:rFonts w:hint="eastAsia" w:ascii="宋体" w:hAnsi="宋体" w:cs="Arial"/>
          <w:b/>
          <w:kern w:val="0"/>
          <w:sz w:val="24"/>
          <w:szCs w:val="24"/>
          <w:highlight w:val="none"/>
        </w:rPr>
        <w:t xml:space="preserve"> 承包内容</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eastAsia="宋体"/>
          <w:sz w:val="24"/>
          <w:szCs w:val="24"/>
          <w:highlight w:val="none"/>
          <w:lang w:val="en-US" w:eastAsia="zh-CN"/>
        </w:rPr>
      </w:pPr>
      <w:r>
        <w:rPr>
          <w:rFonts w:hint="eastAsia" w:eastAsia="宋体"/>
          <w:sz w:val="24"/>
          <w:szCs w:val="24"/>
          <w:highlight w:val="none"/>
          <w:lang w:val="en-US" w:eastAsia="zh-CN"/>
        </w:rPr>
        <w:t>1.公共环境（包括社区范围内的八小行业，所有楼房屋顶、楼道、遮雨档板、车库车棚、棚顶跳台、窨缸窨井、下水道、绿地花坛，公共厕所、垃圾中转站、公园、垃圾箱房等公用部位环境，社区内的河道、溪流、池塘及景观水池等各类水体、大型蓄水池、电缆沟等包括封闭式小区）灭鼠、蚊蝇和蟑螂的孳生消杀控制工作。</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eastAsia="宋体"/>
          <w:sz w:val="24"/>
          <w:szCs w:val="24"/>
          <w:highlight w:val="none"/>
          <w:lang w:val="en-US" w:eastAsia="zh-CN"/>
        </w:rPr>
      </w:pPr>
      <w:r>
        <w:rPr>
          <w:rFonts w:hint="eastAsia" w:eastAsia="宋体"/>
          <w:sz w:val="24"/>
          <w:szCs w:val="24"/>
          <w:highlight w:val="none"/>
          <w:lang w:val="en-US" w:eastAsia="zh-CN"/>
        </w:rPr>
        <w:t>2.公共环境病媒生物控制所需药物及投放、喷洒及环境处理；社区除四害技防设施的增补、清理与维护；各片区备检点小餐饮三防设施及城郊结合部重点场所三防设施的增补、清理与维护。</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eastAsia="宋体"/>
          <w:sz w:val="24"/>
          <w:szCs w:val="24"/>
          <w:highlight w:val="none"/>
          <w:lang w:val="en-US" w:eastAsia="zh-CN"/>
        </w:rPr>
      </w:pPr>
      <w:r>
        <w:rPr>
          <w:rFonts w:hint="eastAsia" w:eastAsia="宋体"/>
          <w:sz w:val="24"/>
          <w:szCs w:val="24"/>
          <w:highlight w:val="none"/>
          <w:lang w:val="en-US" w:eastAsia="zh-CN"/>
        </w:rPr>
        <w:t>3.配合街道做好突发应急事件环境消杀及市、区、街道爱卫办组织的其它除四害活动（包括要求承担的公益性服务）。</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4.协助街道加强除四害宣传教育，制定员工培训计划，开展各项活动，采取拍摄制作图文并茂、通俗易懂的宣传资料等方式向市民群众进行除害防病知识宣传。提高全民对做好除害防病工作重要性和必要性的认识，使之社区全覆盖、家喻户晓、人人明白、全民参与。</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5.向所服务社区低保户等困难家庭户无偿提供家庭用灭幛、灭鼠药等除"四害"药品及技术指导，向所服务社区居民家庭无偿提供除"四害"技术指导。</w:t>
      </w:r>
    </w:p>
    <w:p>
      <w:pPr>
        <w:pStyle w:val="102"/>
        <w:pageBreakBefore w:val="0"/>
        <w:widowControl w:val="0"/>
        <w:kinsoku/>
        <w:wordWrap/>
        <w:overflowPunct/>
        <w:topLinePunct w:val="0"/>
        <w:autoSpaceDE/>
        <w:autoSpaceDN/>
        <w:bidi w:val="0"/>
        <w:adjustRightInd/>
        <w:snapToGrid/>
        <w:spacing w:line="360" w:lineRule="auto"/>
        <w:ind w:firstLine="484" w:firstLineChars="200"/>
        <w:rPr>
          <w:rFonts w:hint="default"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6.</w:t>
      </w:r>
      <w:r>
        <w:rPr>
          <w:rFonts w:hint="eastAsia" w:eastAsia="宋体" w:cs="Times New Roman"/>
          <w:b w:val="0"/>
          <w:bCs w:val="0"/>
          <w:kern w:val="0"/>
          <w:sz w:val="24"/>
          <w:szCs w:val="24"/>
          <w:highlight w:val="none"/>
          <w:lang w:val="en-US" w:eastAsia="zh-CN" w:bidi="ar-SA"/>
        </w:rPr>
        <w:t>供应商</w:t>
      </w:r>
      <w:r>
        <w:rPr>
          <w:rFonts w:hint="eastAsia" w:ascii="Times New Roman" w:hAnsi="Times New Roman" w:eastAsia="宋体" w:cs="Times New Roman"/>
          <w:b w:val="0"/>
          <w:bCs w:val="0"/>
          <w:kern w:val="0"/>
          <w:sz w:val="24"/>
          <w:szCs w:val="24"/>
          <w:highlight w:val="none"/>
          <w:lang w:val="en-US" w:eastAsia="zh-CN" w:bidi="ar-SA"/>
        </w:rPr>
        <w:t>的消杀人员应定期到街道公共服务管理办公室、社区居委会报到（应定有固定作业人员3人），向分管人员汇报工作计划，并服从分配的具体工作任务。</w:t>
      </w:r>
    </w:p>
    <w:p>
      <w:pPr>
        <w:pageBreakBefore w:val="0"/>
        <w:widowControl w:val="0"/>
        <w:kinsoku/>
        <w:wordWrap/>
        <w:overflowPunct/>
        <w:topLinePunct w:val="0"/>
        <w:autoSpaceDE/>
        <w:autoSpaceDN/>
        <w:bidi w:val="0"/>
        <w:adjustRightInd/>
        <w:snapToGrid/>
        <w:spacing w:beforeLines="0" w:line="360" w:lineRule="auto"/>
        <w:ind w:firstLine="484" w:firstLineChars="200"/>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7.每季度一次孳生地（如鼠洞、严重卫生死角等）调查，收集和处理死老鼠等。</w:t>
      </w:r>
    </w:p>
    <w:p>
      <w:pPr>
        <w:pageBreakBefore w:val="0"/>
        <w:widowControl w:val="0"/>
        <w:kinsoku/>
        <w:wordWrap/>
        <w:overflowPunct/>
        <w:topLinePunct w:val="0"/>
        <w:autoSpaceDE/>
        <w:autoSpaceDN/>
        <w:bidi w:val="0"/>
        <w:adjustRightInd/>
        <w:snapToGrid/>
        <w:spacing w:beforeLines="0" w:line="360" w:lineRule="auto"/>
        <w:ind w:firstLine="484" w:firstLineChars="200"/>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8.做好服务区域的</w:t>
      </w:r>
      <w:r>
        <w:rPr>
          <w:rFonts w:hint="eastAsia" w:eastAsia="宋体" w:cs="Times New Roman"/>
          <w:b w:val="0"/>
          <w:bCs w:val="0"/>
          <w:kern w:val="0"/>
          <w:sz w:val="24"/>
          <w:szCs w:val="24"/>
          <w:highlight w:val="none"/>
          <w:lang w:val="en-US" w:eastAsia="zh-CN" w:bidi="ar-SA"/>
        </w:rPr>
        <w:t>“</w:t>
      </w:r>
      <w:r>
        <w:rPr>
          <w:rFonts w:hint="eastAsia" w:ascii="Times New Roman" w:hAnsi="Times New Roman" w:eastAsia="宋体" w:cs="Times New Roman"/>
          <w:b w:val="0"/>
          <w:bCs w:val="0"/>
          <w:kern w:val="0"/>
          <w:sz w:val="24"/>
          <w:szCs w:val="24"/>
          <w:highlight w:val="none"/>
          <w:lang w:val="en-US" w:eastAsia="zh-CN" w:bidi="ar-SA"/>
        </w:rPr>
        <w:t>四害</w:t>
      </w:r>
      <w:r>
        <w:rPr>
          <w:rFonts w:hint="eastAsia" w:eastAsia="宋体" w:cs="Times New Roman"/>
          <w:b w:val="0"/>
          <w:bCs w:val="0"/>
          <w:kern w:val="0"/>
          <w:sz w:val="24"/>
          <w:szCs w:val="24"/>
          <w:highlight w:val="none"/>
          <w:lang w:val="en-US" w:eastAsia="zh-CN" w:bidi="ar-SA"/>
        </w:rPr>
        <w:t>”</w:t>
      </w:r>
      <w:r>
        <w:rPr>
          <w:rFonts w:hint="eastAsia" w:ascii="Times New Roman" w:hAnsi="Times New Roman" w:eastAsia="宋体" w:cs="Times New Roman"/>
          <w:b w:val="0"/>
          <w:bCs w:val="0"/>
          <w:kern w:val="0"/>
          <w:sz w:val="24"/>
          <w:szCs w:val="24"/>
          <w:highlight w:val="none"/>
          <w:lang w:val="en-US" w:eastAsia="zh-CN" w:bidi="ar-SA"/>
        </w:rPr>
        <w:t>密度监测，并做好整改工作。鼠、蟑每单月15日开展一次，蚊、蝇每年 4-10月15日开展一次，按月上报小结，按季上报分析报告，按年度上报工作总结。</w:t>
      </w:r>
    </w:p>
    <w:p>
      <w:pPr>
        <w:pageBreakBefore w:val="0"/>
        <w:widowControl w:val="0"/>
        <w:kinsoku/>
        <w:wordWrap/>
        <w:overflowPunct/>
        <w:topLinePunct w:val="0"/>
        <w:autoSpaceDE/>
        <w:autoSpaceDN/>
        <w:bidi w:val="0"/>
        <w:adjustRightInd/>
        <w:snapToGrid/>
        <w:spacing w:beforeLines="0" w:line="360" w:lineRule="auto"/>
        <w:ind w:firstLine="484" w:firstLineChars="200"/>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9.消杀工作之前，先告之采购单位，认真听取其建议</w:t>
      </w:r>
      <w:r>
        <w:rPr>
          <w:rFonts w:hint="eastAsia" w:cs="Times New Roman"/>
          <w:b w:val="0"/>
          <w:bCs w:val="0"/>
          <w:kern w:val="0"/>
          <w:sz w:val="24"/>
          <w:szCs w:val="24"/>
          <w:highlight w:val="none"/>
          <w:lang w:val="en-US" w:eastAsia="zh-CN" w:bidi="ar-SA"/>
        </w:rPr>
        <w:t>，并做好公示公告，告知小区居民</w:t>
      </w:r>
      <w:r>
        <w:rPr>
          <w:rFonts w:hint="eastAsia" w:ascii="Times New Roman" w:hAnsi="Times New Roman" w:eastAsia="宋体" w:cs="Times New Roman"/>
          <w:b w:val="0"/>
          <w:bCs w:val="0"/>
          <w:kern w:val="0"/>
          <w:sz w:val="24"/>
          <w:szCs w:val="24"/>
          <w:highlight w:val="none"/>
          <w:lang w:val="en-US" w:eastAsia="zh-CN" w:bidi="ar-SA"/>
        </w:rPr>
        <w:t>；服务后进行复查，及时查补遗漏，清理好现场工作器械和药物。</w:t>
      </w:r>
    </w:p>
    <w:p>
      <w:pPr>
        <w:ind w:firstLine="484" w:firstLineChars="200"/>
        <w:outlineLvl w:val="9"/>
        <w:rPr>
          <w:rFonts w:hint="eastAsia" w:ascii="Times New Roman" w:hAnsi="Times New Roman" w:eastAsia="宋体" w:cs="Times New Roman"/>
          <w:b w:val="0"/>
          <w:bCs w:val="0"/>
          <w:kern w:val="0"/>
          <w:sz w:val="24"/>
          <w:szCs w:val="24"/>
          <w:highlight w:val="no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10.本合同新增设备：</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4611"/>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4"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序号</w:t>
            </w:r>
          </w:p>
        </w:tc>
        <w:tc>
          <w:tcPr>
            <w:tcW w:w="4611"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内容</w:t>
            </w:r>
          </w:p>
        </w:tc>
        <w:tc>
          <w:tcPr>
            <w:tcW w:w="2843"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4"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1</w:t>
            </w:r>
          </w:p>
        </w:tc>
        <w:tc>
          <w:tcPr>
            <w:tcW w:w="4611"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鼠饵站</w:t>
            </w:r>
          </w:p>
        </w:tc>
        <w:tc>
          <w:tcPr>
            <w:tcW w:w="2843"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2000个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4"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Times New Roman" w:hAnsi="Times New Roman"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2</w:t>
            </w:r>
          </w:p>
        </w:tc>
        <w:tc>
          <w:tcPr>
            <w:tcW w:w="4611"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插地式捕蝇笼</w:t>
            </w:r>
          </w:p>
        </w:tc>
        <w:tc>
          <w:tcPr>
            <w:tcW w:w="2843"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80个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4"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Times New Roman" w:hAnsi="Times New Roman"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3</w:t>
            </w:r>
          </w:p>
        </w:tc>
        <w:tc>
          <w:tcPr>
            <w:tcW w:w="4611"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在下水道主管网安装挡鼠网，</w:t>
            </w:r>
            <w:r>
              <w:rPr>
                <w:rFonts w:hint="eastAsia" w:ascii="Times New Roman" w:hAnsi="Times New Roman" w:cs="Times New Roman"/>
                <w:b w:val="0"/>
                <w:bCs w:val="0"/>
                <w:kern w:val="0"/>
                <w:sz w:val="24"/>
                <w:szCs w:val="24"/>
                <w:highlight w:val="none"/>
                <w:lang w:val="en-US" w:eastAsia="zh-CN" w:bidi="ar-SA"/>
              </w:rPr>
              <w:t>档鼠网宽度为1.2米</w:t>
            </w:r>
          </w:p>
        </w:tc>
        <w:tc>
          <w:tcPr>
            <w:tcW w:w="2843"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70米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4"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Times New Roman" w:hAnsi="Times New Roman"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4</w:t>
            </w:r>
          </w:p>
        </w:tc>
        <w:tc>
          <w:tcPr>
            <w:tcW w:w="4611"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eastAsia="宋体" w:cs="Times New Roman"/>
                <w:b w:val="0"/>
                <w:bCs w:val="0"/>
                <w:kern w:val="0"/>
                <w:sz w:val="24"/>
                <w:szCs w:val="24"/>
                <w:highlight w:val="none"/>
                <w:lang w:val="en-US" w:eastAsia="zh-CN" w:bidi="ar-SA"/>
              </w:rPr>
              <w:t>外捕蝇灯</w:t>
            </w:r>
          </w:p>
        </w:tc>
        <w:tc>
          <w:tcPr>
            <w:tcW w:w="2843" w:type="dxa"/>
            <w:vAlign w:val="center"/>
          </w:tcPr>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Times New Roman" w:hAnsi="Times New Roman" w:eastAsia="宋体" w:cs="Times New Roman"/>
                <w:b w:val="0"/>
                <w:bCs w:val="0"/>
                <w:kern w:val="0"/>
                <w:sz w:val="24"/>
                <w:szCs w:val="24"/>
                <w:highlight w:val="none"/>
                <w:vertAlign w:val="baseline"/>
                <w:lang w:val="en-US" w:eastAsia="zh-CN" w:bidi="ar-SA"/>
              </w:rPr>
            </w:pPr>
            <w:r>
              <w:rPr>
                <w:rFonts w:hint="eastAsia" w:ascii="Times New Roman" w:hAnsi="Times New Roman" w:cs="Times New Roman"/>
                <w:b w:val="0"/>
                <w:bCs w:val="0"/>
                <w:kern w:val="0"/>
                <w:sz w:val="24"/>
                <w:szCs w:val="24"/>
                <w:highlight w:val="none"/>
                <w:vertAlign w:val="baseline"/>
                <w:lang w:val="en-US" w:eastAsia="zh-CN" w:bidi="ar-SA"/>
              </w:rPr>
              <w:t>4台</w:t>
            </w:r>
          </w:p>
        </w:tc>
      </w:tr>
    </w:tbl>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default" w:ascii="宋体" w:hAnsi="宋体" w:eastAsia="宋体" w:cs="Arial"/>
          <w:b/>
          <w:kern w:val="0"/>
          <w:sz w:val="24"/>
          <w:szCs w:val="24"/>
          <w:lang w:val="en-US" w:eastAsia="zh-CN"/>
        </w:rPr>
      </w:pPr>
      <w:r>
        <w:rPr>
          <w:rFonts w:hint="eastAsia" w:ascii="宋体" w:hAnsi="宋体" w:cs="Arial"/>
          <w:b/>
          <w:kern w:val="0"/>
          <w:sz w:val="24"/>
          <w:szCs w:val="24"/>
        </w:rPr>
        <w:t xml:space="preserve">第十三条 </w:t>
      </w:r>
      <w:r>
        <w:rPr>
          <w:rFonts w:hint="eastAsia" w:ascii="宋体" w:hAnsi="宋体" w:cs="Arial"/>
          <w:b/>
          <w:kern w:val="0"/>
          <w:sz w:val="24"/>
          <w:szCs w:val="24"/>
          <w:highlight w:val="none"/>
        </w:rPr>
        <w:t>承包期限：</w:t>
      </w:r>
      <w:r>
        <w:rPr>
          <w:rFonts w:hint="eastAsia" w:ascii="宋体" w:hAnsi="宋体" w:cs="Arial"/>
          <w:b/>
          <w:kern w:val="0"/>
          <w:sz w:val="24"/>
          <w:szCs w:val="24"/>
          <w:highlight w:val="none"/>
          <w:lang w:eastAsia="zh-CN"/>
        </w:rPr>
        <w:t>合同签订之日起</w:t>
      </w:r>
      <w:r>
        <w:rPr>
          <w:rFonts w:hint="eastAsia" w:ascii="宋体" w:hAnsi="宋体" w:cs="Arial"/>
          <w:b/>
          <w:kern w:val="0"/>
          <w:sz w:val="24"/>
          <w:szCs w:val="24"/>
          <w:highlight w:val="none"/>
          <w:lang w:val="en-US" w:eastAsia="zh-CN"/>
        </w:rPr>
        <w:t>1年</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第十四条 承包质量要求</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sz w:val="24"/>
          <w:szCs w:val="24"/>
          <w:highlight w:val="none"/>
        </w:rPr>
      </w:pPr>
      <w:r>
        <w:rPr>
          <w:rFonts w:hint="eastAsia"/>
          <w:sz w:val="24"/>
          <w:szCs w:val="24"/>
          <w:highlight w:val="none"/>
        </w:rPr>
        <w:t>1.服务质量达到《中华人民共和国国家标准》（GB／[T27770－27773]—2011〔鼠、蚊、蝇、蟑螂〕）规定标准A级控制水平</w:t>
      </w:r>
      <w:r>
        <w:rPr>
          <w:rFonts w:hint="eastAsia"/>
          <w:sz w:val="24"/>
          <w:szCs w:val="24"/>
          <w:highlight w:val="none"/>
          <w:lang w:eastAsia="zh-CN"/>
        </w:rPr>
        <w:t>，</w:t>
      </w:r>
      <w:r>
        <w:rPr>
          <w:rFonts w:hint="eastAsia"/>
          <w:sz w:val="24"/>
          <w:szCs w:val="24"/>
          <w:highlight w:val="none"/>
          <w:lang w:val="en-US" w:eastAsia="zh-CN"/>
        </w:rPr>
        <w:t>持续巩固街道病媒A级创建成果</w:t>
      </w:r>
      <w:r>
        <w:rPr>
          <w:rFonts w:hint="eastAsia"/>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sz w:val="24"/>
          <w:szCs w:val="24"/>
          <w:highlight w:val="none"/>
          <w:lang w:val="en-US" w:eastAsia="zh-CN"/>
        </w:rPr>
      </w:pPr>
      <w:r>
        <w:rPr>
          <w:rFonts w:hint="eastAsia"/>
          <w:sz w:val="24"/>
          <w:szCs w:val="24"/>
          <w:highlight w:val="none"/>
          <w:lang w:val="en-US" w:eastAsia="zh-CN"/>
        </w:rPr>
        <w:t>具体如下：</w:t>
      </w:r>
    </w:p>
    <w:p>
      <w:pPr>
        <w:pStyle w:val="16"/>
        <w:snapToGrid w:val="0"/>
        <w:spacing w:before="120" w:after="120" w:line="360" w:lineRule="auto"/>
        <w:ind w:left="361" w:hanging="411" w:hangingChars="170"/>
        <w:rPr>
          <w:rFonts w:hint="eastAsia" w:hAnsi="宋体"/>
          <w:sz w:val="24"/>
          <w:szCs w:val="24"/>
          <w:highlight w:val="none"/>
        </w:rPr>
      </w:pPr>
      <w:r>
        <w:rPr>
          <w:rFonts w:hint="eastAsia" w:hAnsi="宋体"/>
          <w:sz w:val="24"/>
          <w:szCs w:val="24"/>
          <w:highlight w:val="none"/>
        </w:rPr>
        <w:t>《中华人民共和国国家标准》（GB／[T27770－27773]—2011〔鼠、蚊、蝇、蟑螂〕）摘录：</w:t>
      </w:r>
    </w:p>
    <w:p>
      <w:pPr>
        <w:pStyle w:val="16"/>
        <w:numPr>
          <w:ilvl w:val="0"/>
          <w:numId w:val="0"/>
        </w:numPr>
        <w:snapToGrid w:val="0"/>
        <w:spacing w:before="120" w:after="120" w:line="360" w:lineRule="auto"/>
        <w:ind w:left="315" w:leftChars="0"/>
        <w:rPr>
          <w:rFonts w:hint="eastAsia" w:hAnsi="宋体"/>
          <w:sz w:val="24"/>
          <w:szCs w:val="24"/>
          <w:highlight w:val="none"/>
        </w:rPr>
      </w:pPr>
      <w:r>
        <w:rPr>
          <w:rFonts w:hint="eastAsia" w:hAnsi="宋体"/>
          <w:sz w:val="24"/>
          <w:szCs w:val="24"/>
          <w:highlight w:val="none"/>
          <w:lang w:val="en-US" w:eastAsia="zh-CN"/>
        </w:rPr>
        <w:t>(1)</w:t>
      </w:r>
      <w:r>
        <w:rPr>
          <w:rFonts w:hint="eastAsia" w:hAnsi="宋体"/>
          <w:sz w:val="24"/>
          <w:szCs w:val="24"/>
          <w:highlight w:val="none"/>
        </w:rPr>
        <w:t>鼠密度控制水平A级</w:t>
      </w:r>
    </w:p>
    <w:p>
      <w:pPr>
        <w:pStyle w:val="16"/>
        <w:snapToGrid w:val="0"/>
        <w:spacing w:before="120" w:after="120" w:line="360" w:lineRule="auto"/>
        <w:ind w:left="315" w:firstLine="363" w:firstLineChars="150"/>
        <w:rPr>
          <w:rFonts w:hint="eastAsia" w:hAnsi="宋体"/>
          <w:sz w:val="24"/>
          <w:szCs w:val="24"/>
          <w:highlight w:val="none"/>
        </w:rPr>
      </w:pPr>
      <w:r>
        <w:rPr>
          <w:rFonts w:hint="eastAsia" w:hAnsi="宋体"/>
          <w:sz w:val="24"/>
          <w:szCs w:val="24"/>
          <w:highlight w:val="none"/>
        </w:rPr>
        <w:t>防鼠设施合格率≥97%； 室内鼠迹阳性率≤1%；   外环境鼠路径指数≤1。</w:t>
      </w:r>
    </w:p>
    <w:p>
      <w:pPr>
        <w:pStyle w:val="16"/>
        <w:snapToGrid w:val="0"/>
        <w:spacing w:before="120" w:after="120" w:line="360" w:lineRule="auto"/>
        <w:ind w:left="361" w:hanging="411" w:hangingChars="170"/>
        <w:rPr>
          <w:rFonts w:hint="eastAsia" w:hAnsi="宋体"/>
          <w:sz w:val="24"/>
          <w:szCs w:val="24"/>
          <w:highlight w:val="none"/>
        </w:rPr>
      </w:pPr>
      <w:r>
        <w:rPr>
          <w:rFonts w:hint="eastAsia" w:hAnsi="宋体"/>
          <w:sz w:val="24"/>
          <w:szCs w:val="24"/>
          <w:highlight w:val="none"/>
        </w:rPr>
        <w:t xml:space="preserve">   </w:t>
      </w:r>
      <w:r>
        <w:rPr>
          <w:rFonts w:hint="eastAsia" w:hAnsi="宋体"/>
          <w:sz w:val="24"/>
          <w:szCs w:val="24"/>
          <w:highlight w:val="none"/>
          <w:lang w:val="en-US" w:eastAsia="zh-CN"/>
        </w:rPr>
        <w:t>(</w:t>
      </w:r>
      <w:r>
        <w:rPr>
          <w:rFonts w:hint="eastAsia" w:hAnsi="宋体"/>
          <w:sz w:val="24"/>
          <w:szCs w:val="24"/>
          <w:highlight w:val="none"/>
        </w:rPr>
        <w:t>2</w:t>
      </w:r>
      <w:r>
        <w:rPr>
          <w:rFonts w:hint="eastAsia" w:hAnsi="宋体"/>
          <w:sz w:val="24"/>
          <w:szCs w:val="24"/>
          <w:highlight w:val="none"/>
          <w:lang w:val="en-US" w:eastAsia="zh-CN"/>
        </w:rPr>
        <w:t>)</w:t>
      </w:r>
      <w:r>
        <w:rPr>
          <w:rFonts w:hint="eastAsia" w:hAnsi="宋体"/>
          <w:sz w:val="24"/>
          <w:szCs w:val="24"/>
          <w:highlight w:val="none"/>
        </w:rPr>
        <w:t>蚊虫密度控制水平A级</w:t>
      </w:r>
    </w:p>
    <w:p>
      <w:pPr>
        <w:pStyle w:val="16"/>
        <w:snapToGrid w:val="0"/>
        <w:spacing w:before="120" w:after="120" w:line="360" w:lineRule="auto"/>
        <w:ind w:left="573" w:hanging="653" w:hangingChars="270"/>
        <w:rPr>
          <w:rFonts w:hint="eastAsia" w:hAnsi="宋体"/>
          <w:sz w:val="24"/>
          <w:szCs w:val="24"/>
          <w:highlight w:val="none"/>
        </w:rPr>
      </w:pPr>
      <w:r>
        <w:rPr>
          <w:rFonts w:hint="eastAsia" w:hAnsi="宋体"/>
          <w:sz w:val="24"/>
          <w:szCs w:val="24"/>
          <w:highlight w:val="none"/>
        </w:rPr>
        <w:t xml:space="preserve">     小型积水蚊虫路径指数≤0.1；大中型水体蚊虫采样勺指数≤1%，平均每阳性勺少于3只蚊幼虫和蛹；外环境蚊虫停落指数≤0.5。</w:t>
      </w:r>
    </w:p>
    <w:p>
      <w:pPr>
        <w:pStyle w:val="16"/>
        <w:numPr>
          <w:ilvl w:val="0"/>
          <w:numId w:val="0"/>
        </w:numPr>
        <w:snapToGrid w:val="0"/>
        <w:spacing w:before="120" w:after="120" w:line="360" w:lineRule="auto"/>
        <w:ind w:left="315" w:leftChars="0"/>
        <w:rPr>
          <w:rFonts w:hint="eastAsia" w:hAnsi="宋体"/>
          <w:sz w:val="24"/>
          <w:szCs w:val="24"/>
          <w:highlight w:val="none"/>
        </w:rPr>
      </w:pPr>
      <w:r>
        <w:rPr>
          <w:rFonts w:hint="eastAsia" w:hAnsi="宋体"/>
          <w:sz w:val="24"/>
          <w:szCs w:val="24"/>
          <w:highlight w:val="none"/>
          <w:lang w:val="en-US" w:eastAsia="zh-CN"/>
        </w:rPr>
        <w:t>(3)</w:t>
      </w:r>
      <w:r>
        <w:rPr>
          <w:rFonts w:hint="eastAsia" w:hAnsi="宋体"/>
          <w:sz w:val="24"/>
          <w:szCs w:val="24"/>
          <w:highlight w:val="none"/>
        </w:rPr>
        <w:t>蝇密度控制水平A级</w:t>
      </w:r>
    </w:p>
    <w:p>
      <w:pPr>
        <w:pStyle w:val="16"/>
        <w:snapToGrid w:val="0"/>
        <w:spacing w:before="120" w:after="120" w:line="360" w:lineRule="auto"/>
        <w:ind w:left="315" w:firstLine="363" w:firstLineChars="150"/>
        <w:rPr>
          <w:rFonts w:hint="eastAsia" w:hAnsi="宋体"/>
          <w:sz w:val="24"/>
          <w:szCs w:val="24"/>
          <w:highlight w:val="none"/>
        </w:rPr>
      </w:pPr>
      <w:r>
        <w:rPr>
          <w:rFonts w:hint="eastAsia" w:hAnsi="宋体"/>
          <w:sz w:val="24"/>
          <w:szCs w:val="24"/>
          <w:highlight w:val="none"/>
        </w:rPr>
        <w:t>防蝇设施合格率≥98%；</w:t>
      </w:r>
    </w:p>
    <w:p>
      <w:pPr>
        <w:pStyle w:val="16"/>
        <w:snapToGrid w:val="0"/>
        <w:spacing w:before="120" w:after="120" w:line="360" w:lineRule="auto"/>
        <w:ind w:left="361" w:hanging="411" w:hangingChars="170"/>
        <w:rPr>
          <w:rFonts w:hint="eastAsia" w:hAnsi="宋体"/>
          <w:sz w:val="24"/>
          <w:szCs w:val="24"/>
          <w:highlight w:val="none"/>
        </w:rPr>
      </w:pPr>
      <w:r>
        <w:rPr>
          <w:rFonts w:hint="eastAsia" w:hAnsi="宋体"/>
          <w:sz w:val="24"/>
          <w:szCs w:val="24"/>
          <w:highlight w:val="none"/>
        </w:rPr>
        <w:t xml:space="preserve">      生产销售直接入口食品的场所不得有蝇，室内不得存在蝇类孳生地；</w:t>
      </w:r>
    </w:p>
    <w:p>
      <w:pPr>
        <w:pStyle w:val="16"/>
        <w:snapToGrid w:val="0"/>
        <w:spacing w:before="120" w:after="120" w:line="360" w:lineRule="auto"/>
        <w:ind w:left="318" w:leftChars="150" w:firstLine="363" w:firstLineChars="150"/>
        <w:rPr>
          <w:rFonts w:hint="eastAsia" w:hAnsi="宋体"/>
          <w:sz w:val="24"/>
          <w:szCs w:val="24"/>
          <w:highlight w:val="none"/>
        </w:rPr>
      </w:pPr>
      <w:r>
        <w:rPr>
          <w:rFonts w:hint="eastAsia" w:hAnsi="宋体"/>
          <w:sz w:val="24"/>
          <w:szCs w:val="24"/>
          <w:highlight w:val="none"/>
        </w:rPr>
        <w:t>室内有蝇房间阳性率≤3%，阳性间蝇密度≤3只/间；室外蝇类孳生地阳性率≤1%；</w:t>
      </w:r>
    </w:p>
    <w:p>
      <w:pPr>
        <w:pStyle w:val="16"/>
        <w:snapToGrid w:val="0"/>
        <w:spacing w:before="120" w:after="120" w:line="360" w:lineRule="auto"/>
        <w:ind w:left="361" w:hanging="411" w:hangingChars="170"/>
        <w:rPr>
          <w:rFonts w:hint="eastAsia" w:hAnsi="宋体"/>
          <w:sz w:val="24"/>
          <w:szCs w:val="24"/>
          <w:highlight w:val="none"/>
        </w:rPr>
      </w:pPr>
      <w:r>
        <w:rPr>
          <w:rFonts w:hint="eastAsia" w:hAnsi="宋体"/>
          <w:sz w:val="24"/>
          <w:szCs w:val="24"/>
          <w:highlight w:val="none"/>
        </w:rPr>
        <w:t>　　</w:t>
      </w:r>
      <w:r>
        <w:rPr>
          <w:rFonts w:hint="eastAsia" w:hAnsi="宋体"/>
          <w:sz w:val="24"/>
          <w:szCs w:val="24"/>
          <w:highlight w:val="none"/>
          <w:lang w:val="en-US" w:eastAsia="zh-CN"/>
        </w:rPr>
        <w:t>(4)</w:t>
      </w:r>
      <w:r>
        <w:rPr>
          <w:rFonts w:hint="eastAsia" w:hAnsi="宋体"/>
          <w:sz w:val="24"/>
          <w:szCs w:val="24"/>
          <w:highlight w:val="none"/>
        </w:rPr>
        <w:t>蟑螂密度控制水平A级</w:t>
      </w:r>
    </w:p>
    <w:p>
      <w:pPr>
        <w:spacing w:line="360" w:lineRule="auto"/>
        <w:rPr>
          <w:rFonts w:hint="eastAsia" w:hAnsi="宋体"/>
          <w:sz w:val="24"/>
          <w:szCs w:val="24"/>
          <w:highlight w:val="none"/>
        </w:rPr>
      </w:pPr>
      <w:r>
        <w:rPr>
          <w:rFonts w:hint="eastAsia" w:hAnsi="宋体"/>
          <w:sz w:val="24"/>
          <w:szCs w:val="24"/>
          <w:highlight w:val="none"/>
        </w:rPr>
        <w:t xml:space="preserve">      蜚蠊成若虫侵害率≤1%，平均每阳性间（处）成若虫数小蠊≤5只，大蠊≤2只；</w:t>
      </w:r>
    </w:p>
    <w:p>
      <w:pPr>
        <w:spacing w:line="360" w:lineRule="auto"/>
        <w:ind w:firstLine="726" w:firstLineChars="300"/>
        <w:rPr>
          <w:rFonts w:hint="eastAsia" w:hAnsi="宋体"/>
          <w:sz w:val="24"/>
          <w:szCs w:val="24"/>
          <w:highlight w:val="none"/>
        </w:rPr>
      </w:pPr>
      <w:r>
        <w:rPr>
          <w:rFonts w:hint="eastAsia" w:hAnsi="宋体"/>
          <w:sz w:val="24"/>
          <w:szCs w:val="24"/>
          <w:highlight w:val="none"/>
        </w:rPr>
        <w:t>蟑螂卵鞘密度查获率≤1%，平均每阳性间（处）卵鞘数≤2只/间）；</w:t>
      </w:r>
    </w:p>
    <w:p>
      <w:pPr>
        <w:spacing w:line="400" w:lineRule="exact"/>
        <w:ind w:firstLine="726" w:firstLineChars="300"/>
        <w:rPr>
          <w:rFonts w:hint="default"/>
          <w:highlight w:val="none"/>
          <w:lang w:val="en-US" w:eastAsia="zh-CN"/>
        </w:rPr>
      </w:pPr>
      <w:r>
        <w:rPr>
          <w:rFonts w:hint="eastAsia" w:hAnsi="宋体"/>
          <w:sz w:val="24"/>
          <w:szCs w:val="24"/>
          <w:highlight w:val="none"/>
        </w:rPr>
        <w:t>蟑迹查获率≤3%</w:t>
      </w:r>
      <w:r>
        <w:rPr>
          <w:rFonts w:hint="eastAsia" w:hAnsi="宋体" w:cs="宋体"/>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sz w:val="24"/>
          <w:szCs w:val="24"/>
          <w:highlight w:val="none"/>
        </w:rPr>
      </w:pPr>
      <w:r>
        <w:rPr>
          <w:rFonts w:hint="eastAsia"/>
          <w:sz w:val="24"/>
          <w:szCs w:val="24"/>
          <w:highlight w:val="none"/>
        </w:rPr>
        <w:t>2.</w:t>
      </w:r>
      <w:r>
        <w:rPr>
          <w:rFonts w:hint="eastAsia"/>
          <w:sz w:val="24"/>
          <w:szCs w:val="24"/>
          <w:highlight w:val="none"/>
          <w:lang w:val="en-US" w:eastAsia="zh-CN"/>
        </w:rPr>
        <w:t>群众</w:t>
      </w:r>
      <w:r>
        <w:rPr>
          <w:rFonts w:hint="eastAsia"/>
          <w:sz w:val="24"/>
          <w:szCs w:val="24"/>
          <w:highlight w:val="none"/>
        </w:rPr>
        <w:t>满意率达90%（含）以上；</w:t>
      </w:r>
    </w:p>
    <w:p>
      <w:pPr>
        <w:keepNext w:val="0"/>
        <w:keepLines w:val="0"/>
        <w:pageBreakBefore w:val="0"/>
        <w:widowControl/>
        <w:kinsoku/>
        <w:wordWrap/>
        <w:overflowPunct/>
        <w:topLinePunct w:val="0"/>
        <w:autoSpaceDE/>
        <w:autoSpaceDN/>
        <w:bidi w:val="0"/>
        <w:adjustRightInd/>
        <w:snapToGrid/>
        <w:spacing w:line="360" w:lineRule="auto"/>
        <w:ind w:firstLine="484" w:firstLineChars="200"/>
        <w:textAlignment w:val="auto"/>
        <w:rPr>
          <w:rFonts w:hint="eastAsia" w:eastAsia="宋体"/>
          <w:sz w:val="24"/>
          <w:szCs w:val="24"/>
          <w:highlight w:val="none"/>
          <w:lang w:eastAsia="zh-CN"/>
        </w:rPr>
      </w:pPr>
      <w:r>
        <w:rPr>
          <w:rFonts w:hint="eastAsia"/>
          <w:sz w:val="24"/>
          <w:szCs w:val="24"/>
          <w:highlight w:val="none"/>
        </w:rPr>
        <w:t>3.</w:t>
      </w:r>
      <w:r>
        <w:rPr>
          <w:rFonts w:hint="eastAsia" w:eastAsia="宋体"/>
          <w:sz w:val="24"/>
          <w:szCs w:val="24"/>
          <w:highlight w:val="none"/>
        </w:rPr>
        <w:t>确保病媒生物防制工作</w:t>
      </w:r>
      <w:r>
        <w:rPr>
          <w:rFonts w:hint="eastAsia" w:eastAsia="宋体"/>
          <w:sz w:val="24"/>
          <w:szCs w:val="24"/>
          <w:highlight w:val="none"/>
          <w:lang w:val="en-US" w:eastAsia="zh-CN"/>
        </w:rPr>
        <w:t>通过县城区病媒生物B级复评</w:t>
      </w:r>
      <w:r>
        <w:rPr>
          <w:rFonts w:hint="eastAsia" w:eastAsia="宋体"/>
          <w:sz w:val="24"/>
          <w:szCs w:val="24"/>
          <w:highlight w:val="none"/>
        </w:rPr>
        <w:t>和</w:t>
      </w:r>
      <w:r>
        <w:rPr>
          <w:rFonts w:hint="eastAsia"/>
          <w:sz w:val="24"/>
          <w:szCs w:val="24"/>
          <w:highlight w:val="none"/>
          <w:lang w:val="en-US" w:eastAsia="zh-CN"/>
        </w:rPr>
        <w:t>街道</w:t>
      </w:r>
      <w:r>
        <w:rPr>
          <w:rFonts w:hint="eastAsia" w:eastAsia="宋体"/>
          <w:sz w:val="24"/>
          <w:szCs w:val="24"/>
          <w:highlight w:val="none"/>
        </w:rPr>
        <w:t>病媒生物</w:t>
      </w:r>
      <w:r>
        <w:rPr>
          <w:rFonts w:hint="eastAsia"/>
          <w:sz w:val="24"/>
          <w:szCs w:val="24"/>
          <w:highlight w:val="none"/>
          <w:lang w:val="en-US" w:eastAsia="zh-CN"/>
        </w:rPr>
        <w:t>A级持续巩固</w:t>
      </w:r>
      <w:r>
        <w:rPr>
          <w:rFonts w:hint="eastAsia" w:eastAsia="宋体"/>
          <w:sz w:val="24"/>
          <w:szCs w:val="24"/>
          <w:highlight w:val="none"/>
        </w:rPr>
        <w:t>，在上级检查中不失责任分。</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第十五条 结算</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default" w:ascii="宋体" w:hAnsi="宋体" w:cs="Arial"/>
          <w:bCs/>
          <w:kern w:val="0"/>
          <w:sz w:val="24"/>
          <w:szCs w:val="24"/>
          <w:lang w:val="en-US"/>
        </w:rPr>
      </w:pPr>
      <w:r>
        <w:rPr>
          <w:rFonts w:hint="eastAsia" w:ascii="宋体" w:hAnsi="宋体" w:cs="Arial"/>
          <w:bCs/>
          <w:kern w:val="0"/>
          <w:sz w:val="24"/>
          <w:szCs w:val="24"/>
        </w:rPr>
        <w:t>1、</w:t>
      </w:r>
      <w:r>
        <w:rPr>
          <w:rFonts w:hint="eastAsia" w:ascii="宋体" w:hAnsi="宋体" w:cs="Arial"/>
          <w:color w:val="auto"/>
          <w:kern w:val="0"/>
          <w:sz w:val="24"/>
          <w:szCs w:val="24"/>
          <w:u w:val="single"/>
          <w:lang w:val="en-US" w:eastAsia="zh-CN"/>
        </w:rPr>
        <w:t>合</w:t>
      </w:r>
      <w:r>
        <w:rPr>
          <w:rFonts w:hint="eastAsia" w:ascii="宋体" w:hAnsi="宋体" w:cs="Arial"/>
          <w:color w:val="auto"/>
          <w:kern w:val="0"/>
          <w:sz w:val="24"/>
          <w:szCs w:val="24"/>
          <w:highlight w:val="none"/>
          <w:u w:val="single"/>
          <w:lang w:val="en-US" w:eastAsia="zh-CN"/>
        </w:rPr>
        <w:t xml:space="preserve">同生效以及具备实施条件后7个工作日内支付签订合同后支付合同价的70％，第一、二季度在预付款中按考核后的支付金额扣除，第三季度按考核后的支付金额在扣除预付款后不够的部分转账支付，第四季度根据年终综合考核结果进行转账支付。 </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Cs/>
          <w:kern w:val="0"/>
          <w:sz w:val="24"/>
          <w:szCs w:val="24"/>
        </w:rPr>
      </w:pPr>
      <w:r>
        <w:rPr>
          <w:rFonts w:hint="eastAsia" w:ascii="宋体" w:hAnsi="宋体" w:cs="Arial"/>
          <w:bCs/>
          <w:kern w:val="0"/>
          <w:sz w:val="24"/>
          <w:szCs w:val="24"/>
        </w:rPr>
        <w:t>2、对突发应急事件消杀和其他公益性消杀，费用另行结算。</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
          <w:kern w:val="0"/>
          <w:sz w:val="24"/>
          <w:szCs w:val="24"/>
        </w:rPr>
      </w:pPr>
      <w:r>
        <w:rPr>
          <w:rFonts w:hint="eastAsia" w:ascii="宋体" w:hAnsi="宋体" w:cs="Arial"/>
          <w:b/>
          <w:kern w:val="0"/>
          <w:sz w:val="24"/>
          <w:szCs w:val="24"/>
        </w:rPr>
        <w:t>第十六条 甲方职责</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hAnsi="宋体"/>
          <w:sz w:val="24"/>
          <w:szCs w:val="24"/>
        </w:rPr>
      </w:pPr>
      <w:r>
        <w:rPr>
          <w:rFonts w:hint="eastAsia" w:hAnsi="宋体"/>
          <w:sz w:val="24"/>
          <w:szCs w:val="24"/>
        </w:rPr>
        <w:t>1、负责督促街道办落实承包范围内公共环境环卫基础设施建设、维护，保持环境清洁卫生。</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hAnsi="宋体"/>
          <w:sz w:val="24"/>
          <w:szCs w:val="24"/>
        </w:rPr>
      </w:pPr>
      <w:r>
        <w:rPr>
          <w:rFonts w:hint="eastAsia" w:hAnsi="宋体"/>
          <w:sz w:val="24"/>
          <w:szCs w:val="24"/>
        </w:rPr>
        <w:t>2、负责督促街道办落实开展对社区居民的病媒生物防制工作的宣传。</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hAnsi="宋体"/>
          <w:sz w:val="24"/>
          <w:szCs w:val="24"/>
        </w:rPr>
      </w:pPr>
      <w:r>
        <w:rPr>
          <w:rFonts w:hint="eastAsia" w:hAnsi="宋体"/>
          <w:sz w:val="24"/>
          <w:szCs w:val="24"/>
        </w:rPr>
        <w:t>3、负责督促乙方落实病媒生物防制消杀服务措施。</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360" w:lineRule="auto"/>
        <w:ind w:left="0" w:leftChars="0" w:firstLine="484" w:firstLineChars="200"/>
        <w:jc w:val="left"/>
        <w:textAlignment w:val="auto"/>
        <w:rPr>
          <w:rFonts w:hint="eastAsia" w:ascii="宋体" w:hAnsi="宋体" w:cs="Arial"/>
          <w:bCs/>
          <w:kern w:val="0"/>
          <w:sz w:val="24"/>
          <w:szCs w:val="24"/>
        </w:rPr>
      </w:pPr>
    </w:p>
    <w:p>
      <w:pPr>
        <w:pStyle w:val="16"/>
        <w:keepNext w:val="0"/>
        <w:keepLines w:val="0"/>
        <w:pageBreakBefore w:val="0"/>
        <w:kinsoku/>
        <w:wordWrap/>
        <w:overflowPunct/>
        <w:topLinePunct w:val="0"/>
        <w:autoSpaceDE/>
        <w:autoSpaceDN/>
        <w:bidi w:val="0"/>
        <w:adjustRightInd/>
        <w:snapToGrid w:val="0"/>
        <w:spacing w:line="360" w:lineRule="auto"/>
        <w:ind w:left="242" w:leftChars="0" w:hanging="242" w:hangingChars="100"/>
        <w:textAlignment w:val="auto"/>
        <w:rPr>
          <w:rFonts w:hAnsi="宋体"/>
          <w:sz w:val="24"/>
          <w:szCs w:val="24"/>
        </w:rPr>
      </w:pPr>
      <w:r>
        <w:rPr>
          <w:rFonts w:hAnsi="宋体"/>
          <w:sz w:val="24"/>
          <w:szCs w:val="24"/>
        </w:rPr>
        <w:t>甲方：</w:t>
      </w:r>
      <w:r>
        <w:rPr>
          <w:rFonts w:hint="eastAsia" w:hAnsi="宋体"/>
          <w:sz w:val="24"/>
          <w:szCs w:val="24"/>
        </w:rPr>
        <w:t xml:space="preserve">                                </w:t>
      </w:r>
      <w:r>
        <w:rPr>
          <w:rFonts w:hAnsi="宋体"/>
          <w:sz w:val="24"/>
          <w:szCs w:val="24"/>
        </w:rPr>
        <w:t>乙方：</w:t>
      </w:r>
    </w:p>
    <w:p>
      <w:pPr>
        <w:pStyle w:val="16"/>
        <w:keepNext w:val="0"/>
        <w:keepLines w:val="0"/>
        <w:pageBreakBefore w:val="0"/>
        <w:kinsoku/>
        <w:wordWrap/>
        <w:overflowPunct/>
        <w:topLinePunct w:val="0"/>
        <w:autoSpaceDE/>
        <w:autoSpaceDN/>
        <w:bidi w:val="0"/>
        <w:adjustRightInd/>
        <w:snapToGrid w:val="0"/>
        <w:spacing w:line="360" w:lineRule="auto"/>
        <w:ind w:left="0" w:leftChars="0"/>
        <w:textAlignment w:val="auto"/>
        <w:rPr>
          <w:rFonts w:hAnsi="宋体"/>
          <w:sz w:val="24"/>
          <w:szCs w:val="24"/>
        </w:rPr>
      </w:pPr>
      <w:r>
        <w:rPr>
          <w:rFonts w:hAnsi="宋体"/>
          <w:sz w:val="24"/>
          <w:szCs w:val="24"/>
        </w:rPr>
        <w:t>地址：</w:t>
      </w:r>
      <w:r>
        <w:rPr>
          <w:rFonts w:hint="eastAsia" w:hAnsi="宋体"/>
          <w:sz w:val="24"/>
          <w:szCs w:val="24"/>
        </w:rPr>
        <w:t xml:space="preserve">                                </w:t>
      </w:r>
      <w:r>
        <w:rPr>
          <w:rFonts w:hAnsi="宋体"/>
          <w:sz w:val="24"/>
          <w:szCs w:val="24"/>
        </w:rPr>
        <w:t>地址：</w:t>
      </w:r>
    </w:p>
    <w:p>
      <w:pPr>
        <w:pStyle w:val="16"/>
        <w:keepNext w:val="0"/>
        <w:keepLines w:val="0"/>
        <w:pageBreakBefore w:val="0"/>
        <w:kinsoku/>
        <w:wordWrap/>
        <w:overflowPunct/>
        <w:topLinePunct w:val="0"/>
        <w:autoSpaceDE/>
        <w:autoSpaceDN/>
        <w:bidi w:val="0"/>
        <w:adjustRightInd/>
        <w:snapToGrid w:val="0"/>
        <w:spacing w:line="360" w:lineRule="auto"/>
        <w:ind w:left="0" w:leftChars="0"/>
        <w:textAlignment w:val="auto"/>
        <w:rPr>
          <w:rFonts w:hAnsi="宋体"/>
          <w:sz w:val="24"/>
          <w:szCs w:val="24"/>
        </w:rPr>
      </w:pPr>
      <w:r>
        <w:rPr>
          <w:rFonts w:hAnsi="宋体"/>
          <w:sz w:val="24"/>
          <w:szCs w:val="24"/>
        </w:rPr>
        <w:t>法定代表人：</w:t>
      </w:r>
      <w:r>
        <w:rPr>
          <w:rFonts w:hint="eastAsia" w:hAnsi="宋体"/>
          <w:sz w:val="24"/>
          <w:szCs w:val="24"/>
        </w:rPr>
        <w:t xml:space="preserve">                          </w:t>
      </w:r>
      <w:r>
        <w:rPr>
          <w:rFonts w:hAnsi="宋体"/>
          <w:sz w:val="24"/>
          <w:szCs w:val="24"/>
        </w:rPr>
        <w:t>法定代表人</w:t>
      </w:r>
      <w:r>
        <w:rPr>
          <w:rFonts w:hint="eastAsia" w:hAnsi="宋体"/>
          <w:sz w:val="24"/>
          <w:szCs w:val="24"/>
        </w:rPr>
        <w:t>（或授权委托人）</w:t>
      </w:r>
      <w:r>
        <w:rPr>
          <w:rFonts w:hAnsi="宋体"/>
          <w:sz w:val="24"/>
          <w:szCs w:val="24"/>
        </w:rPr>
        <w:t>：</w:t>
      </w:r>
    </w:p>
    <w:p>
      <w:pPr>
        <w:pStyle w:val="16"/>
        <w:keepNext w:val="0"/>
        <w:keepLines w:val="0"/>
        <w:pageBreakBefore w:val="0"/>
        <w:kinsoku/>
        <w:wordWrap/>
        <w:overflowPunct/>
        <w:topLinePunct w:val="0"/>
        <w:autoSpaceDE/>
        <w:autoSpaceDN/>
        <w:bidi w:val="0"/>
        <w:adjustRightInd/>
        <w:snapToGrid w:val="0"/>
        <w:spacing w:line="360" w:lineRule="auto"/>
        <w:ind w:left="0" w:leftChars="0"/>
        <w:textAlignment w:val="auto"/>
        <w:rPr>
          <w:rFonts w:hint="eastAsia"/>
          <w:sz w:val="24"/>
          <w:szCs w:val="24"/>
          <w:lang w:val="zh-CN"/>
        </w:rPr>
      </w:pPr>
      <w:r>
        <w:rPr>
          <w:rFonts w:hAnsi="宋体"/>
          <w:sz w:val="24"/>
          <w:szCs w:val="24"/>
        </w:rPr>
        <w:t>签订地点：</w:t>
      </w:r>
      <w:r>
        <w:rPr>
          <w:rFonts w:hint="eastAsia" w:hAnsi="宋体"/>
          <w:sz w:val="24"/>
          <w:szCs w:val="24"/>
        </w:rPr>
        <w:t xml:space="preserve">                            </w:t>
      </w:r>
      <w:r>
        <w:rPr>
          <w:rFonts w:hAnsi="宋体"/>
          <w:sz w:val="24"/>
          <w:szCs w:val="24"/>
        </w:rPr>
        <w:t>签订日期：</w:t>
      </w:r>
      <w:r>
        <w:rPr>
          <w:rFonts w:hint="eastAsia" w:hAnsi="宋体"/>
          <w:sz w:val="24"/>
          <w:szCs w:val="24"/>
        </w:rPr>
        <w:t xml:space="preserve">  </w:t>
      </w:r>
      <w:r>
        <w:rPr>
          <w:rFonts w:hAnsi="宋体"/>
          <w:sz w:val="24"/>
          <w:szCs w:val="24"/>
        </w:rPr>
        <w:t>年</w:t>
      </w:r>
      <w:r>
        <w:rPr>
          <w:rFonts w:hint="eastAsia" w:hAnsi="宋体"/>
          <w:sz w:val="24"/>
          <w:szCs w:val="24"/>
        </w:rPr>
        <w:t xml:space="preserve">   </w:t>
      </w:r>
      <w:r>
        <w:rPr>
          <w:rFonts w:hAnsi="宋体"/>
          <w:sz w:val="24"/>
          <w:szCs w:val="24"/>
        </w:rPr>
        <w:t>月</w:t>
      </w:r>
      <w:r>
        <w:rPr>
          <w:rFonts w:hint="eastAsia" w:hAnsi="宋体"/>
          <w:sz w:val="24"/>
          <w:szCs w:val="24"/>
        </w:rPr>
        <w:t xml:space="preserve">  </w:t>
      </w:r>
      <w:r>
        <w:rPr>
          <w:rFonts w:hAnsi="宋体"/>
          <w:sz w:val="24"/>
          <w:szCs w:val="24"/>
        </w:rPr>
        <w:t>日</w:t>
      </w:r>
    </w:p>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sz w:val="32"/>
          <w:szCs w:val="32"/>
          <w:lang w:val="zh-CN"/>
        </w:rPr>
      </w:pPr>
    </w:p>
    <w:p>
      <w:pPr>
        <w:pStyle w:val="14"/>
        <w:rPr>
          <w:rFonts w:hint="eastAsia"/>
          <w:lang w:val="zh-CN"/>
        </w:rPr>
        <w:sectPr>
          <w:pgSz w:w="11850" w:h="16783"/>
          <w:pgMar w:top="1020" w:right="1134" w:bottom="1020" w:left="1134" w:header="851" w:footer="992" w:gutter="0"/>
          <w:cols w:space="720" w:num="1"/>
          <w:docGrid w:type="linesAndChars" w:linePitch="320" w:charSpace="482"/>
        </w:sectPr>
      </w:pPr>
    </w:p>
    <w:tbl>
      <w:tblPr>
        <w:tblStyle w:val="27"/>
        <w:tblW w:w="14080" w:type="dxa"/>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trPr>
        <w:tc>
          <w:tcPr>
            <w:tcW w:w="14080" w:type="dxa"/>
            <w:gridSpan w:val="5"/>
            <w:tcBorders>
              <w:top w:val="nil"/>
              <w:left w:val="nil"/>
              <w:bottom w:val="nil"/>
              <w:right w:val="nil"/>
            </w:tcBorders>
            <w:noWrap w:val="0"/>
            <w:vAlign w:val="center"/>
          </w:tcPr>
          <w:p>
            <w:pPr>
              <w:widowControl/>
              <w:jc w:val="center"/>
              <w:rPr>
                <w:rFonts w:ascii="宋体" w:hAnsi="宋体" w:cs="宋体"/>
                <w:b/>
                <w:bCs/>
                <w:kern w:val="0"/>
                <w:sz w:val="48"/>
                <w:szCs w:val="48"/>
              </w:rPr>
            </w:pPr>
            <w:r>
              <w:rPr>
                <w:rFonts w:hint="eastAsia" w:ascii="宋体" w:hAnsi="宋体" w:cs="宋体"/>
                <w:b/>
                <w:bCs/>
                <w:kern w:val="0"/>
                <w:sz w:val="48"/>
                <w:szCs w:val="48"/>
              </w:rPr>
              <w:t>政 府 采 购 项 目 验 收 单</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按照《政府采购委托汇总确认书》第         号，采购编号：                 ,合同号：             </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0"/>
            <w:vAlign w:val="center"/>
          </w:tcPr>
          <w:p>
            <w:pPr>
              <w:widowControl/>
              <w:jc w:val="left"/>
              <w:rPr>
                <w:rFonts w:ascii="宋体" w:hAnsi="宋体" w:cs="宋体"/>
                <w:kern w:val="0"/>
                <w:sz w:val="26"/>
                <w:szCs w:val="26"/>
              </w:rPr>
            </w:pPr>
            <w:r>
              <w:rPr>
                <w:rFonts w:hint="eastAsia" w:ascii="宋体" w:hAnsi="宋体" w:cs="宋体"/>
                <w:kern w:val="0"/>
                <w:sz w:val="26"/>
                <w:szCs w:val="26"/>
              </w:rPr>
              <w:t>以下项目已采购到位并验收合格。</w:t>
            </w:r>
          </w:p>
        </w:tc>
      </w:tr>
      <w:tr>
        <w:tblPrEx>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采购货物（服务，工程）名称</w:t>
            </w:r>
          </w:p>
        </w:tc>
        <w:tc>
          <w:tcPr>
            <w:tcW w:w="4840" w:type="dxa"/>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规格、型号</w:t>
            </w:r>
          </w:p>
        </w:tc>
        <w:tc>
          <w:tcPr>
            <w:tcW w:w="1280" w:type="dxa"/>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数量</w:t>
            </w:r>
          </w:p>
        </w:tc>
        <w:tc>
          <w:tcPr>
            <w:tcW w:w="1600" w:type="dxa"/>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核定总价</w:t>
            </w:r>
          </w:p>
        </w:tc>
        <w:tc>
          <w:tcPr>
            <w:tcW w:w="17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采购人</w:t>
            </w:r>
            <w:r>
              <w:rPr>
                <w:rFonts w:hint="eastAsia" w:ascii="宋体" w:hAnsi="宋体" w:cs="宋体"/>
                <w:kern w:val="0"/>
                <w:sz w:val="28"/>
                <w:szCs w:val="28"/>
              </w:rPr>
              <w:br w:type="textWrapping"/>
            </w:r>
            <w:r>
              <w:rPr>
                <w:rFonts w:hint="eastAsia" w:ascii="宋体" w:hAnsi="宋体" w:cs="宋体"/>
                <w:kern w:val="0"/>
                <w:sz w:val="28"/>
                <w:szCs w:val="28"/>
              </w:rPr>
              <w:t>验收意见</w:t>
            </w:r>
          </w:p>
        </w:tc>
      </w:tr>
      <w:tr>
        <w:tblPrEx>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48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6"/>
                <w:szCs w:val="26"/>
              </w:rPr>
            </w:pPr>
            <w:r>
              <w:rPr>
                <w:rFonts w:hint="eastAsia" w:ascii="宋体" w:hAnsi="宋体" w:cs="宋体"/>
                <w:kern w:val="0"/>
                <w:sz w:val="26"/>
                <w:szCs w:val="26"/>
              </w:rPr>
              <w:t>　</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6"/>
                <w:szCs w:val="26"/>
              </w:rPr>
            </w:pPr>
            <w:r>
              <w:rPr>
                <w:rFonts w:hint="eastAsia" w:ascii="宋体" w:hAnsi="宋体" w:cs="宋体"/>
                <w:kern w:val="0"/>
                <w:sz w:val="26"/>
                <w:szCs w:val="26"/>
              </w:rPr>
              <w:t>　</w:t>
            </w: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6"/>
                <w:szCs w:val="26"/>
              </w:rPr>
            </w:pPr>
            <w:r>
              <w:rPr>
                <w:rFonts w:hint="eastAsia" w:ascii="宋体" w:hAnsi="宋体" w:cs="宋体"/>
                <w:kern w:val="0"/>
                <w:sz w:val="26"/>
                <w:szCs w:val="26"/>
              </w:rPr>
              <w:t>　</w:t>
            </w:r>
          </w:p>
        </w:tc>
        <w:tc>
          <w:tcPr>
            <w:tcW w:w="17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6"/>
                <w:szCs w:val="26"/>
              </w:rPr>
            </w:pPr>
            <w:r>
              <w:rPr>
                <w:rFonts w:hint="eastAsia" w:ascii="宋体" w:hAnsi="宋体" w:cs="宋体"/>
                <w:kern w:val="0"/>
                <w:sz w:val="26"/>
                <w:szCs w:val="26"/>
              </w:rPr>
              <w:t>　</w:t>
            </w:r>
          </w:p>
        </w:tc>
      </w:tr>
      <w:tr>
        <w:tblPrEx>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6"/>
                <w:szCs w:val="26"/>
              </w:rPr>
            </w:pPr>
            <w:r>
              <w:rPr>
                <w:rFonts w:hint="eastAsia" w:ascii="宋体" w:hAnsi="宋体" w:cs="宋体"/>
                <w:kern w:val="0"/>
                <w:sz w:val="26"/>
                <w:szCs w:val="26"/>
              </w:rPr>
              <w:t>合计总价款（人民币）</w:t>
            </w:r>
          </w:p>
        </w:tc>
        <w:tc>
          <w:tcPr>
            <w:tcW w:w="9460" w:type="dxa"/>
            <w:gridSpan w:val="4"/>
            <w:tcBorders>
              <w:top w:val="nil"/>
              <w:left w:val="nil"/>
              <w:bottom w:val="single" w:color="auto" w:sz="4" w:space="0"/>
              <w:right w:val="single" w:color="000000" w:sz="4" w:space="0"/>
            </w:tcBorders>
            <w:noWrap w:val="0"/>
            <w:vAlign w:val="center"/>
          </w:tcPr>
          <w:p>
            <w:pPr>
              <w:widowControl/>
              <w:jc w:val="left"/>
              <w:rPr>
                <w:rFonts w:ascii="宋体" w:hAnsi="宋体" w:cs="宋体"/>
                <w:kern w:val="0"/>
                <w:sz w:val="26"/>
                <w:szCs w:val="26"/>
              </w:rPr>
            </w:pPr>
            <w:r>
              <w:rPr>
                <w:rFonts w:hint="eastAsia" w:ascii="宋体" w:hAnsi="宋体" w:cs="宋体"/>
                <w:kern w:val="0"/>
                <w:sz w:val="26"/>
                <w:szCs w:val="26"/>
              </w:rPr>
              <w:t>人民币</w:t>
            </w:r>
            <w:r>
              <w:rPr>
                <w:rFonts w:hint="eastAsia" w:ascii="宋体" w:hAnsi="宋体" w:cs="宋体"/>
                <w:kern w:val="0"/>
                <w:sz w:val="26"/>
                <w:szCs w:val="26"/>
                <w:u w:val="single"/>
              </w:rPr>
              <w:t xml:space="preserve">                 </w:t>
            </w:r>
            <w:r>
              <w:rPr>
                <w:rFonts w:hint="eastAsia" w:ascii="宋体" w:hAnsi="宋体" w:cs="宋体"/>
                <w:kern w:val="0"/>
                <w:sz w:val="26"/>
                <w:szCs w:val="26"/>
              </w:rPr>
              <w:t xml:space="preserve">元整。       ￥: </w:t>
            </w:r>
            <w:r>
              <w:rPr>
                <w:rFonts w:hint="eastAsia" w:ascii="宋体" w:hAnsi="宋体" w:cs="宋体"/>
                <w:kern w:val="0"/>
                <w:sz w:val="26"/>
                <w:szCs w:val="26"/>
                <w:u w:val="single"/>
              </w:rPr>
              <w:t xml:space="preserve">             </w:t>
            </w:r>
          </w:p>
        </w:tc>
      </w:tr>
      <w:tr>
        <w:tblPrEx>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noWrap w:val="0"/>
            <w:vAlign w:val="bottom"/>
          </w:tcPr>
          <w:p>
            <w:pPr>
              <w:widowControl/>
              <w:jc w:val="left"/>
              <w:rPr>
                <w:rFonts w:ascii="宋体" w:hAnsi="宋体" w:cs="宋体"/>
                <w:kern w:val="0"/>
                <w:sz w:val="24"/>
              </w:rPr>
            </w:pPr>
            <w:r>
              <w:rPr>
                <w:rFonts w:hint="eastAsia" w:ascii="宋体" w:hAnsi="宋体" w:cs="宋体"/>
                <w:kern w:val="0"/>
                <w:sz w:val="24"/>
              </w:rPr>
              <w:t>供货单位（盖章）：</w:t>
            </w:r>
          </w:p>
        </w:tc>
        <w:tc>
          <w:tcPr>
            <w:tcW w:w="4840" w:type="dxa"/>
            <w:tcBorders>
              <w:top w:val="nil"/>
              <w:left w:val="nil"/>
              <w:bottom w:val="nil"/>
              <w:right w:val="nil"/>
            </w:tcBorders>
            <w:noWrap w:val="0"/>
            <w:vAlign w:val="bottom"/>
          </w:tcPr>
          <w:p>
            <w:pPr>
              <w:widowControl/>
              <w:jc w:val="right"/>
              <w:rPr>
                <w:rFonts w:ascii="宋体" w:hAnsi="宋体" w:eastAsia="黑体" w:cs="宋体"/>
                <w:b/>
                <w:bCs/>
                <w:kern w:val="0"/>
                <w:sz w:val="24"/>
              </w:rPr>
            </w:pPr>
            <w:r>
              <w:rPr>
                <w:rFonts w:hint="eastAsia" w:ascii="宋体" w:hAnsi="宋体" w:cs="宋体"/>
                <w:kern w:val="0"/>
                <w:sz w:val="24"/>
              </w:rPr>
              <w:t>采购人（盖章）:</w:t>
            </w:r>
          </w:p>
        </w:tc>
        <w:tc>
          <w:tcPr>
            <w:tcW w:w="2880" w:type="dxa"/>
            <w:gridSpan w:val="2"/>
            <w:tcBorders>
              <w:top w:val="nil"/>
              <w:left w:val="nil"/>
              <w:bottom w:val="nil"/>
              <w:right w:val="nil"/>
            </w:tcBorders>
            <w:noWrap w:val="0"/>
            <w:vAlign w:val="bottom"/>
          </w:tcPr>
          <w:p>
            <w:pPr>
              <w:widowControl/>
              <w:jc w:val="left"/>
              <w:rPr>
                <w:rFonts w:ascii="宋体" w:hAnsi="宋体" w:cs="宋体"/>
                <w:kern w:val="0"/>
                <w:sz w:val="24"/>
              </w:rPr>
            </w:pPr>
          </w:p>
        </w:tc>
        <w:tc>
          <w:tcPr>
            <w:tcW w:w="1740" w:type="dxa"/>
            <w:tcBorders>
              <w:top w:val="nil"/>
              <w:left w:val="nil"/>
              <w:bottom w:val="nil"/>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0"/>
            <w:vAlign w:val="bottom"/>
          </w:tcPr>
          <w:p>
            <w:pPr>
              <w:widowControl/>
              <w:jc w:val="left"/>
              <w:rPr>
                <w:rFonts w:ascii="宋体" w:hAnsi="宋体" w:cs="宋体"/>
                <w:kern w:val="0"/>
                <w:sz w:val="24"/>
              </w:rPr>
            </w:pPr>
            <w:r>
              <w:rPr>
                <w:rFonts w:hint="eastAsia" w:ascii="宋体" w:hAnsi="宋体" w:cs="宋体"/>
                <w:kern w:val="0"/>
                <w:sz w:val="24"/>
              </w:rPr>
              <w:t>经办项目负责人：</w:t>
            </w:r>
          </w:p>
        </w:tc>
        <w:tc>
          <w:tcPr>
            <w:tcW w:w="4840" w:type="dxa"/>
            <w:tcBorders>
              <w:top w:val="nil"/>
              <w:left w:val="nil"/>
              <w:bottom w:val="nil"/>
              <w:right w:val="nil"/>
            </w:tcBorders>
            <w:noWrap w:val="0"/>
            <w:vAlign w:val="bottom"/>
          </w:tcPr>
          <w:p>
            <w:pPr>
              <w:widowControl/>
              <w:jc w:val="right"/>
              <w:rPr>
                <w:rFonts w:ascii="宋体" w:hAnsi="宋体" w:cs="宋体"/>
                <w:kern w:val="0"/>
                <w:sz w:val="24"/>
              </w:rPr>
            </w:pPr>
            <w:r>
              <w:rPr>
                <w:rFonts w:hint="eastAsia" w:ascii="宋体" w:hAnsi="宋体" w:cs="宋体"/>
                <w:kern w:val="0"/>
                <w:sz w:val="24"/>
              </w:rPr>
              <w:t>项目验收组组长：</w:t>
            </w:r>
          </w:p>
        </w:tc>
        <w:tc>
          <w:tcPr>
            <w:tcW w:w="2880" w:type="dxa"/>
            <w:gridSpan w:val="2"/>
            <w:tcBorders>
              <w:top w:val="nil"/>
              <w:left w:val="nil"/>
              <w:bottom w:val="nil"/>
              <w:right w:val="nil"/>
            </w:tcBorders>
            <w:noWrap w:val="0"/>
            <w:vAlign w:val="bottom"/>
          </w:tcPr>
          <w:p>
            <w:pPr>
              <w:widowControl/>
              <w:jc w:val="left"/>
              <w:rPr>
                <w:rFonts w:ascii="宋体" w:hAnsi="宋体" w:cs="宋体"/>
                <w:kern w:val="0"/>
                <w:sz w:val="24"/>
              </w:rPr>
            </w:pPr>
          </w:p>
        </w:tc>
        <w:tc>
          <w:tcPr>
            <w:tcW w:w="1740" w:type="dxa"/>
            <w:tcBorders>
              <w:top w:val="nil"/>
              <w:left w:val="nil"/>
              <w:bottom w:val="nil"/>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0"/>
            <w:vAlign w:val="bottom"/>
          </w:tcPr>
          <w:p>
            <w:pPr>
              <w:widowControl/>
              <w:jc w:val="left"/>
              <w:rPr>
                <w:rFonts w:ascii="宋体" w:hAnsi="宋体" w:cs="宋体"/>
                <w:kern w:val="0"/>
                <w:sz w:val="24"/>
              </w:rPr>
            </w:pPr>
            <w:r>
              <w:rPr>
                <w:rFonts w:hint="eastAsia" w:ascii="宋体" w:hAnsi="宋体" w:cs="宋体"/>
                <w:kern w:val="0"/>
                <w:sz w:val="24"/>
              </w:rPr>
              <w:t>联系电话：</w:t>
            </w:r>
          </w:p>
        </w:tc>
        <w:tc>
          <w:tcPr>
            <w:tcW w:w="4840" w:type="dxa"/>
            <w:tcBorders>
              <w:top w:val="nil"/>
              <w:left w:val="nil"/>
              <w:bottom w:val="nil"/>
              <w:right w:val="nil"/>
            </w:tcBorders>
            <w:noWrap w:val="0"/>
            <w:vAlign w:val="bottom"/>
          </w:tcPr>
          <w:p>
            <w:pPr>
              <w:widowControl/>
              <w:jc w:val="right"/>
              <w:rPr>
                <w:rFonts w:ascii="宋体" w:hAnsi="宋体" w:cs="宋体"/>
                <w:kern w:val="0"/>
                <w:sz w:val="24"/>
              </w:rPr>
            </w:pPr>
            <w:r>
              <w:rPr>
                <w:rFonts w:hint="eastAsia" w:ascii="宋体" w:hAnsi="宋体" w:cs="宋体"/>
                <w:kern w:val="0"/>
                <w:sz w:val="24"/>
              </w:rPr>
              <w:t>联系电话：</w:t>
            </w:r>
          </w:p>
        </w:tc>
        <w:tc>
          <w:tcPr>
            <w:tcW w:w="2880" w:type="dxa"/>
            <w:gridSpan w:val="2"/>
            <w:tcBorders>
              <w:top w:val="nil"/>
              <w:left w:val="nil"/>
              <w:bottom w:val="nil"/>
              <w:right w:val="nil"/>
            </w:tcBorders>
            <w:noWrap w:val="0"/>
            <w:vAlign w:val="bottom"/>
          </w:tcPr>
          <w:p>
            <w:pPr>
              <w:widowControl/>
              <w:jc w:val="left"/>
              <w:rPr>
                <w:rFonts w:ascii="宋体" w:hAnsi="宋体" w:cs="宋体"/>
                <w:kern w:val="0"/>
                <w:sz w:val="24"/>
              </w:rPr>
            </w:pPr>
          </w:p>
        </w:tc>
        <w:tc>
          <w:tcPr>
            <w:tcW w:w="1740" w:type="dxa"/>
            <w:tcBorders>
              <w:top w:val="nil"/>
              <w:left w:val="nil"/>
              <w:bottom w:val="nil"/>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noWrap w:val="0"/>
            <w:vAlign w:val="bottom"/>
          </w:tcPr>
          <w:p>
            <w:pPr>
              <w:widowControl/>
              <w:jc w:val="left"/>
              <w:rPr>
                <w:rFonts w:ascii="宋体" w:hAnsi="宋体" w:cs="宋体"/>
                <w:kern w:val="0"/>
                <w:sz w:val="24"/>
              </w:rPr>
            </w:pPr>
            <w:r>
              <w:rPr>
                <w:rFonts w:hint="eastAsia" w:ascii="宋体" w:hAnsi="宋体" w:cs="宋体"/>
                <w:kern w:val="0"/>
                <w:sz w:val="24"/>
              </w:rPr>
              <w:t>开户银行：</w:t>
            </w:r>
          </w:p>
        </w:tc>
        <w:tc>
          <w:tcPr>
            <w:tcW w:w="4840" w:type="dxa"/>
            <w:tcBorders>
              <w:top w:val="nil"/>
              <w:left w:val="nil"/>
              <w:bottom w:val="nil"/>
              <w:right w:val="nil"/>
            </w:tcBorders>
            <w:noWrap w:val="0"/>
            <w:vAlign w:val="bottom"/>
          </w:tcPr>
          <w:p>
            <w:pPr>
              <w:widowControl/>
              <w:jc w:val="right"/>
              <w:rPr>
                <w:rFonts w:ascii="宋体" w:hAnsi="宋体" w:cs="宋体"/>
                <w:kern w:val="0"/>
                <w:sz w:val="24"/>
              </w:rPr>
            </w:pPr>
            <w:r>
              <w:rPr>
                <w:rFonts w:hint="eastAsia" w:ascii="宋体" w:hAnsi="宋体" w:cs="宋体"/>
                <w:kern w:val="0"/>
                <w:sz w:val="24"/>
              </w:rPr>
              <w:t>项目验收组成员（签名）：</w:t>
            </w:r>
          </w:p>
        </w:tc>
        <w:tc>
          <w:tcPr>
            <w:tcW w:w="2880" w:type="dxa"/>
            <w:gridSpan w:val="2"/>
            <w:tcBorders>
              <w:top w:val="nil"/>
              <w:left w:val="nil"/>
              <w:bottom w:val="nil"/>
              <w:right w:val="nil"/>
            </w:tcBorders>
            <w:noWrap w:val="0"/>
            <w:vAlign w:val="bottom"/>
          </w:tcPr>
          <w:p>
            <w:pPr>
              <w:widowControl/>
              <w:jc w:val="left"/>
              <w:rPr>
                <w:rFonts w:ascii="宋体" w:hAnsi="宋体" w:cs="宋体"/>
                <w:kern w:val="0"/>
                <w:sz w:val="24"/>
              </w:rPr>
            </w:pPr>
          </w:p>
        </w:tc>
        <w:tc>
          <w:tcPr>
            <w:tcW w:w="1740" w:type="dxa"/>
            <w:tcBorders>
              <w:top w:val="nil"/>
              <w:left w:val="nil"/>
              <w:bottom w:val="nil"/>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noWrap w:val="0"/>
            <w:vAlign w:val="center"/>
          </w:tcPr>
          <w:p>
            <w:pPr>
              <w:widowControl/>
              <w:rPr>
                <w:rFonts w:ascii="宋体" w:hAnsi="宋体" w:cs="宋体"/>
                <w:kern w:val="0"/>
                <w:sz w:val="24"/>
              </w:rPr>
            </w:pPr>
            <w:r>
              <w:rPr>
                <w:rFonts w:hint="eastAsia" w:ascii="宋体" w:hAnsi="宋体" w:cs="宋体"/>
                <w:kern w:val="0"/>
                <w:sz w:val="24"/>
              </w:rPr>
              <w:t>银行帐号：</w:t>
            </w:r>
          </w:p>
        </w:tc>
        <w:tc>
          <w:tcPr>
            <w:tcW w:w="4840" w:type="dxa"/>
            <w:tcBorders>
              <w:top w:val="nil"/>
              <w:left w:val="nil"/>
              <w:bottom w:val="single" w:color="auto" w:sz="4" w:space="0"/>
              <w:right w:val="nil"/>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620" w:type="dxa"/>
            <w:gridSpan w:val="3"/>
            <w:tcBorders>
              <w:top w:val="nil"/>
              <w:left w:val="nil"/>
              <w:bottom w:val="single" w:color="auto" w:sz="4" w:space="0"/>
              <w:right w:val="single" w:color="000000" w:sz="4" w:space="0"/>
            </w:tcBorders>
            <w:noWrap w:val="0"/>
            <w:vAlign w:val="center"/>
          </w:tcPr>
          <w:p>
            <w:pPr>
              <w:widowControl/>
              <w:rPr>
                <w:rFonts w:ascii="宋体" w:hAnsi="宋体" w:cs="宋体"/>
                <w:kern w:val="0"/>
                <w:sz w:val="24"/>
              </w:rPr>
            </w:pPr>
            <w:r>
              <w:rPr>
                <w:rFonts w:hint="eastAsia" w:ascii="宋体" w:hAnsi="宋体" w:cs="宋体"/>
                <w:kern w:val="0"/>
                <w:sz w:val="24"/>
              </w:rPr>
              <w:t>验收时间：       年     月     日</w:t>
            </w:r>
          </w:p>
        </w:tc>
      </w:tr>
      <w:tr>
        <w:tblPrEx>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本单一式五联：第一联采购人留存，第二联作为财政支付凭证，第三联供货单位留存，第四联采购机构存档备查，第五联采购办存档备查。</w:t>
            </w:r>
          </w:p>
        </w:tc>
      </w:tr>
    </w:tbl>
    <w:p>
      <w:pPr>
        <w:pStyle w:val="14"/>
        <w:tabs>
          <w:tab w:val="left" w:pos="900"/>
        </w:tabs>
        <w:rPr>
          <w:rFonts w:hint="eastAsia"/>
        </w:rPr>
        <w:sectPr>
          <w:pgSz w:w="16783" w:h="11850" w:orient="landscape"/>
          <w:pgMar w:top="1134" w:right="1020" w:bottom="1134" w:left="1020" w:header="851" w:footer="992" w:gutter="0"/>
          <w:cols w:space="720" w:num="1"/>
          <w:docGrid w:type="linesAndChars" w:linePitch="320" w:charSpace="482"/>
        </w:sectPr>
      </w:pPr>
    </w:p>
    <w:p>
      <w:pPr>
        <w:pStyle w:val="3"/>
        <w:keepNext w:val="0"/>
        <w:keepLines w:val="0"/>
        <w:pageBreakBefore/>
        <w:spacing w:beforeLines="100" w:afterLines="100" w:line="240" w:lineRule="auto"/>
        <w:jc w:val="center"/>
        <w:rPr>
          <w:rFonts w:ascii="Arial" w:hAnsi="Arial" w:cs="Arial"/>
          <w:sz w:val="28"/>
          <w:szCs w:val="36"/>
        </w:rPr>
      </w:pPr>
      <w:r>
        <w:rPr>
          <w:rFonts w:hint="eastAsia" w:ascii="Arial" w:hAnsi="Arial" w:cs="Arial"/>
          <w:color w:val="auto"/>
          <w:sz w:val="28"/>
          <w:szCs w:val="36"/>
          <w:highlight w:val="none"/>
        </w:rPr>
        <w:t>第五部分</w:t>
      </w:r>
      <w:r>
        <w:rPr>
          <w:rFonts w:hint="eastAsia" w:ascii="Arial" w:hAnsi="Arial" w:cs="Arial"/>
          <w:color w:val="auto"/>
          <w:sz w:val="28"/>
          <w:szCs w:val="36"/>
          <w:highlight w:val="none"/>
          <w:lang w:val="en-US" w:eastAsia="zh-CN"/>
        </w:rPr>
        <w:t xml:space="preserve"> </w:t>
      </w:r>
      <w:r>
        <w:rPr>
          <w:rFonts w:hint="eastAsia" w:ascii="Arial" w:hAnsi="Arial" w:cs="Arial"/>
          <w:color w:val="auto"/>
          <w:sz w:val="28"/>
          <w:szCs w:val="36"/>
          <w:highlight w:val="none"/>
        </w:rPr>
        <w:t>竞争性</w:t>
      </w:r>
      <w:r>
        <w:rPr>
          <w:rFonts w:hint="eastAsia" w:ascii="Arial" w:hAnsi="Arial" w:cs="Arial"/>
          <w:sz w:val="28"/>
          <w:szCs w:val="36"/>
        </w:rPr>
        <w:t>磋商评定办法</w:t>
      </w:r>
      <w:bookmarkEnd w:id="12"/>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根据《中华人民共和国政府采购法》和本项目竞争性磋商文件，按照公平、公正、科学、择优的原则选择成交单位，特制定本办法。</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
          <w:bCs/>
          <w:kern w:val="28"/>
          <w:szCs w:val="21"/>
        </w:rPr>
      </w:pPr>
      <w:r>
        <w:rPr>
          <w:rFonts w:hint="default" w:ascii="Times New Roman" w:hAnsi="Times New Roman" w:cs="Times New Roman"/>
          <w:b/>
          <w:bCs/>
          <w:kern w:val="28"/>
          <w:szCs w:val="21"/>
        </w:rPr>
        <w:t>一、 评定原则</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评审工作遵循公平、公正、民主、科学的原则和诚实、信誉、效率的服务原则。本着科学、严谨的态度，认真进行评审，择优选定服务单位。确保服务质量，节约投资，最大限度的保护当事人权益，严格按照竞争性磋商文件的商务、技术要求，对竞争性磋商响应文件进行综合评定，编写评标报告。评定人员必须严格遵守保密规定，不得泄漏评定的有关情况，不得索贿受贿，不得接受吃请和礼品，不得参加影响公正评标的有关活动。供应商不得以任何方式干扰采购工作的进行，一经发现其竞争性磋商响应文件将被拒绝。</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
          <w:bCs/>
          <w:kern w:val="28"/>
          <w:szCs w:val="21"/>
        </w:rPr>
      </w:pPr>
      <w:r>
        <w:rPr>
          <w:rFonts w:hint="default" w:ascii="Times New Roman" w:hAnsi="Times New Roman" w:cs="Times New Roman"/>
          <w:b/>
          <w:bCs/>
          <w:kern w:val="28"/>
          <w:szCs w:val="21"/>
        </w:rPr>
        <w:t>二、评标组织</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开标后，采购人代表或招标代理机构首先对竞争性磋商响应文件进行资格性检查，凡供应商资格不符合竞争性磋商文件要求；竞争性磋商响应文件实质性内容和格式严重不符合有关规定或不响应竞争性磋商文件要求者，经竞争性磋商小组认定作为无效投标，不再进入后续竞争性磋商。</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经资格性检查，竞争性磋商期间出现符合专业条件的供应商或者对竞争性磋商文件作出实质响应的供应商（有效供应商）不足三家，或供应商的报价均超过采购预算，按政府采购法律法规有关规定，依法继续进行或转为其它政府采购方式进行采购，或宣布本次招标失败，重新组织招标。</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
          <w:szCs w:val="21"/>
        </w:rPr>
      </w:pPr>
      <w:r>
        <w:rPr>
          <w:rFonts w:hint="default" w:ascii="Times New Roman" w:hAnsi="Times New Roman" w:cs="Times New Roman"/>
          <w:b/>
          <w:szCs w:val="21"/>
        </w:rPr>
        <w:t>三、磋商流程</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1</w:t>
      </w:r>
      <w:r>
        <w:rPr>
          <w:rFonts w:hint="eastAsia" w:ascii="Times New Roman" w:hAnsi="Times New Roman" w:cs="Times New Roman"/>
          <w:bCs/>
          <w:kern w:val="28"/>
          <w:szCs w:val="21"/>
          <w:lang w:val="en-US" w:eastAsia="zh-CN"/>
        </w:rPr>
        <w:t>.</w:t>
      </w:r>
      <w:r>
        <w:rPr>
          <w:rFonts w:hint="default" w:ascii="Times New Roman" w:hAnsi="Times New Roman" w:cs="Times New Roman"/>
          <w:bCs/>
          <w:kern w:val="28"/>
          <w:szCs w:val="21"/>
        </w:rPr>
        <w:t>主持人宣布磋商的有关事项；</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bookmarkStart w:id="13" w:name="_Toc182848998"/>
      <w:r>
        <w:rPr>
          <w:rFonts w:hint="default" w:ascii="Times New Roman" w:hAnsi="Times New Roman" w:cs="Times New Roman"/>
          <w:bCs/>
          <w:kern w:val="28"/>
          <w:szCs w:val="21"/>
        </w:rPr>
        <w:t>2</w:t>
      </w:r>
      <w:r>
        <w:rPr>
          <w:rFonts w:hint="eastAsia" w:ascii="Times New Roman" w:hAnsi="Times New Roman" w:cs="Times New Roman"/>
          <w:bCs/>
          <w:kern w:val="28"/>
          <w:szCs w:val="21"/>
          <w:lang w:eastAsia="zh-CN"/>
        </w:rPr>
        <w:t>.</w:t>
      </w:r>
      <w:r>
        <w:rPr>
          <w:rFonts w:hint="default" w:ascii="Times New Roman" w:hAnsi="Times New Roman" w:cs="Times New Roman"/>
          <w:bCs/>
          <w:kern w:val="28"/>
          <w:szCs w:val="21"/>
        </w:rPr>
        <w:t>工作人员</w:t>
      </w:r>
      <w:bookmarkEnd w:id="13"/>
      <w:r>
        <w:rPr>
          <w:rFonts w:hint="default" w:ascii="Times New Roman" w:hAnsi="Times New Roman" w:cs="Times New Roman"/>
          <w:bCs/>
          <w:kern w:val="28"/>
          <w:szCs w:val="21"/>
        </w:rPr>
        <w:t>开启磋商响应文件，供应商应在收到解密提示后30分钟内解密；</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3</w:t>
      </w:r>
      <w:r>
        <w:rPr>
          <w:rFonts w:hint="eastAsia" w:ascii="Times New Roman" w:hAnsi="Times New Roman" w:cs="Times New Roman"/>
          <w:bCs/>
          <w:kern w:val="28"/>
          <w:szCs w:val="21"/>
          <w:lang w:eastAsia="zh-CN"/>
        </w:rPr>
        <w:t>.</w:t>
      </w:r>
      <w:r>
        <w:rPr>
          <w:rFonts w:hint="default" w:ascii="Times New Roman" w:hAnsi="Times New Roman" w:cs="Times New Roman"/>
          <w:bCs/>
          <w:kern w:val="28"/>
          <w:szCs w:val="21"/>
        </w:rPr>
        <w:t>磋商小组对所提交的磋商响应资信及商务、技术文件进行审查，审查结束后，由主持人在线公布无效磋商响应方名单、磋商响应无效的原因、标项废标情况；</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4</w:t>
      </w:r>
      <w:r>
        <w:rPr>
          <w:rFonts w:hint="eastAsia" w:ascii="Times New Roman" w:hAnsi="Times New Roman" w:cs="Times New Roman"/>
          <w:bCs/>
          <w:kern w:val="28"/>
          <w:szCs w:val="21"/>
          <w:lang w:eastAsia="zh-CN"/>
        </w:rPr>
        <w:t>.</w:t>
      </w:r>
      <w:r>
        <w:rPr>
          <w:rFonts w:hint="default" w:ascii="Times New Roman" w:hAnsi="Times New Roman" w:cs="Times New Roman"/>
          <w:bCs/>
          <w:kern w:val="28"/>
          <w:szCs w:val="21"/>
        </w:rPr>
        <w:t>磋商小组视情况与各磋商响应方就公司情况、项目需求、售后服务、价格构成、供货时间、付款方式等要素分别进行磋商。逐家磋商一次为一个轮次，磋商轮次由磋商小组视情况决定。</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5</w:t>
      </w:r>
      <w:r>
        <w:rPr>
          <w:rFonts w:hint="eastAsia" w:ascii="Times New Roman" w:hAnsi="Times New Roman" w:cs="Times New Roman"/>
          <w:bCs/>
          <w:kern w:val="28"/>
          <w:szCs w:val="21"/>
          <w:lang w:eastAsia="zh-CN"/>
        </w:rPr>
        <w:t>.</w:t>
      </w:r>
      <w:r>
        <w:rPr>
          <w:rFonts w:hint="default" w:ascii="Times New Roman" w:hAnsi="Times New Roman" w:cs="Times New Roman"/>
          <w:bCs/>
          <w:kern w:val="28"/>
          <w:szCs w:val="21"/>
        </w:rPr>
        <w:t>磋商结束后，主持人宣布本次最终报价的最高限价，并要求各磋商响应方在规定时间（30分钟）内进行最终报价。在规定时间内没有提交最终报价的磋商供应商，视为放弃第二轮报价，其最终报价按上一轮报价为准（供应商明确放弃投标的情况除外）。</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6</w:t>
      </w:r>
      <w:r>
        <w:rPr>
          <w:rFonts w:hint="eastAsia" w:ascii="Times New Roman" w:hAnsi="Times New Roman" w:cs="Times New Roman"/>
          <w:bCs/>
          <w:kern w:val="28"/>
          <w:szCs w:val="21"/>
          <w:lang w:eastAsia="zh-CN"/>
        </w:rPr>
        <w:t>.</w:t>
      </w:r>
      <w:r>
        <w:rPr>
          <w:rFonts w:hint="default" w:ascii="Times New Roman" w:hAnsi="Times New Roman" w:cs="Times New Roman"/>
          <w:bCs/>
          <w:kern w:val="28"/>
          <w:szCs w:val="21"/>
        </w:rPr>
        <w:t>磋商小组根据评审方法对各磋商响应方的资信及商务、技术情况进行评审打分。系统按照磋商小组独立评定结果进行算术平均值计算。</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7</w:t>
      </w:r>
      <w:r>
        <w:rPr>
          <w:rFonts w:hint="eastAsia" w:ascii="Times New Roman" w:hAnsi="Times New Roman" w:cs="Times New Roman"/>
          <w:bCs/>
          <w:kern w:val="28"/>
          <w:szCs w:val="21"/>
          <w:lang w:eastAsia="zh-CN"/>
        </w:rPr>
        <w:t>.</w:t>
      </w:r>
      <w:r>
        <w:rPr>
          <w:rFonts w:hint="default" w:ascii="Times New Roman" w:hAnsi="Times New Roman" w:cs="Times New Roman"/>
          <w:bCs/>
          <w:kern w:val="28"/>
          <w:szCs w:val="21"/>
        </w:rPr>
        <w:t>主持人宣布磋商最终报价评审的有关事项。</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8</w:t>
      </w:r>
      <w:r>
        <w:rPr>
          <w:rFonts w:hint="eastAsia" w:ascii="Times New Roman" w:hAnsi="Times New Roman" w:cs="Times New Roman"/>
          <w:bCs/>
          <w:kern w:val="28"/>
          <w:szCs w:val="21"/>
          <w:lang w:eastAsia="zh-CN"/>
        </w:rPr>
        <w:t>.</w:t>
      </w:r>
      <w:r>
        <w:rPr>
          <w:rFonts w:hint="default" w:ascii="Times New Roman" w:hAnsi="Times New Roman" w:cs="Times New Roman"/>
          <w:bCs/>
          <w:kern w:val="28"/>
          <w:szCs w:val="21"/>
        </w:rPr>
        <w:t>磋商结束后，系统公布有效磋商响应方的总得分结果和推荐的中标候选人。</w:t>
      </w:r>
    </w:p>
    <w:p>
      <w:pPr>
        <w:keepNext w:val="0"/>
        <w:keepLines w:val="0"/>
        <w:pageBreakBefore w:val="0"/>
        <w:kinsoku/>
        <w:wordWrap/>
        <w:overflowPunct/>
        <w:topLinePunct w:val="0"/>
        <w:autoSpaceDE/>
        <w:autoSpaceDN/>
        <w:bidi w:val="0"/>
        <w:adjustRightInd/>
        <w:snapToGrid/>
        <w:spacing w:line="360" w:lineRule="auto"/>
        <w:ind w:firstLine="428" w:firstLineChars="200"/>
        <w:textAlignment w:val="auto"/>
        <w:rPr>
          <w:rFonts w:hint="default" w:ascii="Times New Roman" w:hAnsi="Times New Roman" w:cs="Times New Roman"/>
          <w:bCs/>
          <w:kern w:val="28"/>
          <w:szCs w:val="21"/>
        </w:rPr>
      </w:pPr>
      <w:r>
        <w:rPr>
          <w:rFonts w:hint="default" w:ascii="Times New Roman" w:hAnsi="Times New Roman" w:cs="Times New Roman"/>
          <w:bCs/>
          <w:kern w:val="28"/>
          <w:szCs w:val="21"/>
        </w:rPr>
        <w:t>9</w:t>
      </w:r>
      <w:r>
        <w:rPr>
          <w:rFonts w:hint="eastAsia" w:ascii="Times New Roman" w:hAnsi="Times New Roman" w:cs="Times New Roman"/>
          <w:bCs/>
          <w:kern w:val="28"/>
          <w:szCs w:val="21"/>
          <w:lang w:eastAsia="zh-CN"/>
        </w:rPr>
        <w:t>.</w:t>
      </w:r>
      <w:r>
        <w:rPr>
          <w:rFonts w:hint="default" w:ascii="Times New Roman" w:hAnsi="Times New Roman" w:cs="Times New Roman"/>
          <w:bCs/>
          <w:kern w:val="28"/>
          <w:szCs w:val="21"/>
        </w:rPr>
        <w:t>磋商原则：磋商小组必须公平、公正、客观，不带任何倾向性和启发性；不得向外界透露任何与磋商有关的内容；任何单位和个人不得干扰、影响磋商的正常进行；磋商小组及有关工作人员不得私下与磋商响应方接触。</w:t>
      </w:r>
    </w:p>
    <w:p>
      <w:pPr>
        <w:keepNext w:val="0"/>
        <w:keepLines w:val="0"/>
        <w:pageBreakBefore w:val="0"/>
        <w:widowControl w:val="0"/>
        <w:kinsoku/>
        <w:wordWrap/>
        <w:overflowPunct/>
        <w:topLinePunct w:val="0"/>
        <w:autoSpaceDE/>
        <w:autoSpaceDN/>
        <w:bidi w:val="0"/>
        <w:adjustRightInd/>
        <w:snapToGrid/>
        <w:spacing w:line="360" w:lineRule="auto"/>
        <w:ind w:firstLine="418" w:firstLineChars="196"/>
        <w:jc w:val="both"/>
        <w:textAlignment w:val="auto"/>
        <w:outlineLvl w:val="9"/>
        <w:rPr>
          <w:rFonts w:hint="default" w:ascii="Times New Roman" w:hAnsi="Times New Roman" w:cs="Times New Roman"/>
          <w:b/>
          <w:bCs/>
          <w:szCs w:val="21"/>
          <w:highlight w:val="none"/>
        </w:rPr>
      </w:pPr>
      <w:bookmarkStart w:id="14" w:name="_Toc27912"/>
      <w:bookmarkStart w:id="15" w:name="_Toc11298"/>
      <w:bookmarkStart w:id="16" w:name="_Toc423610067"/>
      <w:r>
        <w:rPr>
          <w:rFonts w:hint="default" w:ascii="Times New Roman" w:hAnsi="Times New Roman" w:cs="Times New Roman"/>
          <w:b/>
          <w:bCs/>
          <w:szCs w:val="21"/>
          <w:highlight w:val="none"/>
        </w:rPr>
        <w:t>四、竞争性磋商评标办法</w:t>
      </w:r>
      <w:bookmarkEnd w:id="14"/>
      <w:bookmarkEnd w:id="15"/>
      <w:bookmarkEnd w:id="16"/>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hint="default" w:ascii="Times New Roman" w:hAnsi="Times New Roman" w:cs="Times New Roman"/>
          <w:szCs w:val="21"/>
        </w:rPr>
      </w:pPr>
      <w:bookmarkStart w:id="17" w:name="_Toc423610068"/>
      <w:bookmarkStart w:id="18" w:name="_Toc26970"/>
      <w:bookmarkStart w:id="19" w:name="_Toc31540"/>
      <w:r>
        <w:rPr>
          <w:rFonts w:hint="default" w:ascii="Times New Roman" w:hAnsi="Times New Roman" w:cs="Times New Roman"/>
          <w:szCs w:val="21"/>
        </w:rPr>
        <w:t>（一）本评标办法采用百分制综合评估法。</w:t>
      </w:r>
      <w:r>
        <w:rPr>
          <w:rFonts w:hint="default" w:ascii="Times New Roman" w:hAnsi="Times New Roman" w:cs="Times New Roman"/>
          <w:szCs w:val="21"/>
          <w:lang w:val="en-US" w:eastAsia="zh-CN"/>
        </w:rPr>
        <w:t>总分100分，</w:t>
      </w:r>
      <w:r>
        <w:rPr>
          <w:rFonts w:hint="default" w:ascii="Times New Roman" w:hAnsi="Times New Roman" w:cs="Times New Roman"/>
          <w:szCs w:val="21"/>
          <w:highlight w:val="none"/>
          <w:lang w:val="en-US" w:eastAsia="zh-CN"/>
        </w:rPr>
        <w:t>其中</w:t>
      </w:r>
      <w:r>
        <w:rPr>
          <w:rFonts w:hint="default" w:ascii="Times New Roman" w:hAnsi="Times New Roman" w:cs="Times New Roman"/>
          <w:szCs w:val="21"/>
          <w:highlight w:val="none"/>
        </w:rPr>
        <w:t>资信技术</w:t>
      </w:r>
      <w:r>
        <w:rPr>
          <w:rFonts w:hint="eastAsia" w:cs="Times New Roman"/>
          <w:szCs w:val="21"/>
          <w:highlight w:val="none"/>
          <w:lang w:val="en-US" w:eastAsia="zh-CN"/>
        </w:rPr>
        <w:t>90</w:t>
      </w:r>
      <w:r>
        <w:rPr>
          <w:rFonts w:hint="default" w:ascii="Times New Roman" w:hAnsi="Times New Roman" w:cs="Times New Roman"/>
          <w:szCs w:val="21"/>
          <w:highlight w:val="none"/>
        </w:rPr>
        <w:t>分，报价</w:t>
      </w:r>
      <w:r>
        <w:rPr>
          <w:rFonts w:hint="eastAsia" w:cs="Times New Roman"/>
          <w:szCs w:val="21"/>
          <w:highlight w:val="none"/>
          <w:lang w:val="en-US" w:eastAsia="zh-CN"/>
        </w:rPr>
        <w:t>10</w:t>
      </w:r>
      <w:r>
        <w:rPr>
          <w:rFonts w:hint="default" w:ascii="Times New Roman" w:hAnsi="Times New Roman" w:cs="Times New Roman"/>
          <w:szCs w:val="21"/>
          <w:highlight w:val="none"/>
        </w:rPr>
        <w:t>分。</w:t>
      </w:r>
      <w:r>
        <w:rPr>
          <w:rFonts w:hint="default" w:ascii="Times New Roman" w:hAnsi="Times New Roman" w:cs="Times New Roman"/>
          <w:szCs w:val="21"/>
        </w:rPr>
        <w:t>最大限度地满足采购需求中规定的各项综合评价标准且综合得分最高的投标人，将被推荐为排序第一的中标候选人。</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313" w:firstLineChars="147"/>
        <w:jc w:val="both"/>
        <w:textAlignment w:val="auto"/>
        <w:outlineLvl w:val="9"/>
        <w:rPr>
          <w:rFonts w:hint="default" w:ascii="Times New Roman" w:hAnsi="Times New Roman" w:cs="Times New Roman"/>
          <w:szCs w:val="21"/>
        </w:rPr>
      </w:pPr>
      <w:bookmarkStart w:id="20" w:name="_Toc19850"/>
      <w:bookmarkStart w:id="21" w:name="_Toc32438"/>
      <w:bookmarkStart w:id="22" w:name="_Toc423610113"/>
      <w:r>
        <w:rPr>
          <w:rFonts w:hint="default" w:ascii="Times New Roman" w:hAnsi="Times New Roman" w:cs="Times New Roman"/>
          <w:szCs w:val="21"/>
        </w:rPr>
        <w:t>各磋商小组成员按下列评分项目进行评定，每人一张评分计算表，由磋商小组成员各自评定打分并记实名。如任何一张表的一项评分内容分值超过规定的范围，则该张表无效。各磋商小组成员对各供应商的各项评分内容进行评审、独立打分，所有磋商小组成员的评分的算术平均值为该供应商技术资信部分的最终得分（四舍五入，保留小数点后二位）。下述评分项缺项按0分计。</w:t>
      </w:r>
      <w:bookmarkEnd w:id="20"/>
      <w:bookmarkEnd w:id="21"/>
    </w:p>
    <w:bookmarkEnd w:id="22"/>
    <w:p>
      <w:pPr>
        <w:keepNext w:val="0"/>
        <w:keepLines w:val="0"/>
        <w:pageBreakBefore w:val="0"/>
        <w:tabs>
          <w:tab w:val="left" w:pos="0"/>
        </w:tabs>
        <w:kinsoku/>
        <w:wordWrap/>
        <w:overflowPunct/>
        <w:topLinePunct w:val="0"/>
        <w:autoSpaceDE/>
        <w:autoSpaceDN/>
        <w:bidi w:val="0"/>
        <w:spacing w:line="360" w:lineRule="auto"/>
        <w:ind w:firstLine="428" w:firstLineChars="200"/>
        <w:textAlignment w:val="auto"/>
        <w:rPr>
          <w:rFonts w:hint="eastAsia" w:ascii="宋体" w:hAnsi="宋体" w:cs="宋体"/>
          <w:b/>
          <w:color w:val="000000"/>
          <w:szCs w:val="21"/>
          <w:highlight w:val="none"/>
        </w:rPr>
      </w:pPr>
      <w:bookmarkStart w:id="23" w:name="_Toc32402"/>
      <w:bookmarkStart w:id="24" w:name="_Toc22781"/>
      <w:r>
        <w:rPr>
          <w:rFonts w:hint="eastAsia" w:ascii="宋体" w:hAnsi="宋体" w:cs="宋体"/>
          <w:b/>
          <w:color w:val="000000"/>
          <w:szCs w:val="21"/>
          <w:highlight w:val="none"/>
        </w:rPr>
        <w:t>（一）价格部分（</w:t>
      </w:r>
      <w:r>
        <w:rPr>
          <w:rFonts w:hint="eastAsia" w:ascii="宋体" w:hAnsi="宋体" w:cs="宋体"/>
          <w:b/>
          <w:color w:val="000000"/>
          <w:szCs w:val="21"/>
          <w:highlight w:val="none"/>
          <w:lang w:val="en-US" w:eastAsia="zh-CN"/>
        </w:rPr>
        <w:t>20</w:t>
      </w:r>
      <w:r>
        <w:rPr>
          <w:rFonts w:hint="eastAsia" w:ascii="宋体" w:hAnsi="宋体" w:cs="宋体"/>
          <w:b/>
          <w:color w:val="000000"/>
          <w:szCs w:val="21"/>
          <w:highlight w:val="none"/>
        </w:rPr>
        <w:t>分）</w:t>
      </w:r>
    </w:p>
    <w:p>
      <w:pPr>
        <w:keepNext w:val="0"/>
        <w:keepLines w:val="0"/>
        <w:pageBreakBefore w:val="0"/>
        <w:kinsoku/>
        <w:wordWrap/>
        <w:overflowPunct/>
        <w:topLinePunct w:val="0"/>
        <w:autoSpaceDE/>
        <w:autoSpaceDN/>
        <w:bidi w:val="0"/>
        <w:spacing w:line="360" w:lineRule="auto"/>
        <w:ind w:firstLine="420"/>
        <w:textAlignment w:val="auto"/>
        <w:rPr>
          <w:rFonts w:hint="eastAsia" w:ascii="宋体" w:hAnsi="宋体" w:cs="宋体"/>
          <w:bCs/>
          <w:color w:val="000000"/>
          <w:szCs w:val="21"/>
        </w:rPr>
      </w:pPr>
      <w:r>
        <w:rPr>
          <w:rFonts w:hint="eastAsia" w:ascii="宋体" w:hAnsi="宋体" w:cs="宋体"/>
          <w:bCs/>
          <w:color w:val="000000"/>
          <w:szCs w:val="21"/>
          <w:lang w:val="en-US" w:eastAsia="zh-CN"/>
        </w:rPr>
        <w:t>1、</w:t>
      </w:r>
      <w:r>
        <w:rPr>
          <w:rFonts w:hint="eastAsia" w:ascii="宋体" w:hAnsi="宋体" w:cs="宋体"/>
          <w:b/>
          <w:bCs w:val="0"/>
          <w:color w:val="000000"/>
          <w:szCs w:val="21"/>
          <w:lang w:val="en-US" w:eastAsia="zh-CN"/>
        </w:rPr>
        <w:t>消杀</w:t>
      </w:r>
      <w:r>
        <w:rPr>
          <w:rFonts w:hint="eastAsia" w:ascii="宋体" w:hAnsi="宋体" w:cs="宋体"/>
          <w:b/>
          <w:bCs w:val="0"/>
          <w:color w:val="000000"/>
          <w:szCs w:val="21"/>
        </w:rPr>
        <w:t>报价分</w:t>
      </w:r>
      <w:r>
        <w:rPr>
          <w:rFonts w:hint="eastAsia" w:ascii="宋体" w:hAnsi="宋体" w:cs="宋体"/>
          <w:bCs/>
          <w:color w:val="000000"/>
          <w:szCs w:val="21"/>
        </w:rPr>
        <w:t>采用低价优先法计算，即满足磋商文件要求且最终报价最低的</w:t>
      </w:r>
      <w:r>
        <w:rPr>
          <w:rFonts w:hint="eastAsia" w:ascii="宋体" w:hAnsi="宋体" w:cs="宋体"/>
          <w:b/>
          <w:bCs w:val="0"/>
          <w:color w:val="000000"/>
          <w:szCs w:val="21"/>
          <w:lang w:eastAsia="zh-CN"/>
        </w:rPr>
        <w:t>消杀</w:t>
      </w:r>
      <w:r>
        <w:rPr>
          <w:rFonts w:hint="eastAsia" w:ascii="宋体" w:hAnsi="宋体" w:cs="宋体"/>
          <w:b/>
          <w:bCs w:val="0"/>
          <w:color w:val="000000"/>
          <w:szCs w:val="21"/>
        </w:rPr>
        <w:t>报价</w:t>
      </w:r>
      <w:r>
        <w:rPr>
          <w:rFonts w:hint="eastAsia" w:ascii="宋体" w:hAnsi="宋体" w:cs="宋体"/>
          <w:bCs/>
          <w:color w:val="000000"/>
          <w:szCs w:val="21"/>
        </w:rPr>
        <w:t>为评标基准价，得满分</w:t>
      </w:r>
      <w:r>
        <w:rPr>
          <w:rFonts w:hint="eastAsia" w:ascii="宋体" w:hAnsi="宋体" w:cs="宋体"/>
          <w:bCs/>
          <w:color w:val="000000"/>
          <w:szCs w:val="21"/>
          <w:lang w:val="en-US" w:eastAsia="zh-CN"/>
        </w:rPr>
        <w:t>10</w:t>
      </w:r>
      <w:r>
        <w:rPr>
          <w:rFonts w:hint="eastAsia" w:ascii="宋体" w:hAnsi="宋体" w:cs="宋体"/>
          <w:bCs/>
          <w:color w:val="000000"/>
          <w:szCs w:val="21"/>
        </w:rPr>
        <w:t>分，其他响应供应商的价格分按照下列公式计算：</w:t>
      </w:r>
      <w:r>
        <w:rPr>
          <w:rFonts w:hint="eastAsia" w:ascii="宋体" w:hAnsi="宋体" w:cs="宋体"/>
          <w:b/>
          <w:bCs w:val="0"/>
          <w:color w:val="000000"/>
          <w:szCs w:val="21"/>
          <w:lang w:eastAsia="zh-CN"/>
        </w:rPr>
        <w:t>消杀</w:t>
      </w:r>
      <w:r>
        <w:rPr>
          <w:rFonts w:hint="eastAsia" w:ascii="宋体" w:hAnsi="宋体" w:cs="宋体"/>
          <w:b/>
          <w:bCs w:val="0"/>
          <w:color w:val="000000"/>
          <w:szCs w:val="21"/>
        </w:rPr>
        <w:t>价格</w:t>
      </w:r>
      <w:r>
        <w:rPr>
          <w:rFonts w:hint="eastAsia" w:ascii="宋体" w:hAnsi="宋体" w:cs="宋体"/>
          <w:bCs/>
          <w:color w:val="000000"/>
          <w:szCs w:val="21"/>
        </w:rPr>
        <w:t>分=（评标基准价/</w:t>
      </w:r>
      <w:r>
        <w:rPr>
          <w:rFonts w:hint="eastAsia" w:ascii="宋体" w:hAnsi="宋体" w:cs="宋体"/>
          <w:b/>
          <w:bCs w:val="0"/>
          <w:color w:val="000000"/>
          <w:szCs w:val="21"/>
          <w:lang w:eastAsia="zh-CN"/>
        </w:rPr>
        <w:t>消杀</w:t>
      </w:r>
      <w:r>
        <w:rPr>
          <w:rFonts w:hint="eastAsia" w:ascii="宋体" w:hAnsi="宋体" w:cs="宋体"/>
          <w:b/>
          <w:bCs w:val="0"/>
          <w:color w:val="000000"/>
          <w:szCs w:val="21"/>
        </w:rPr>
        <w:t>投标报价</w:t>
      </w:r>
      <w:r>
        <w:rPr>
          <w:rFonts w:hint="eastAsia" w:ascii="宋体" w:hAnsi="宋体" w:cs="宋体"/>
          <w:bCs/>
          <w:color w:val="000000"/>
          <w:szCs w:val="21"/>
        </w:rPr>
        <w:t>）×</w:t>
      </w:r>
      <w:r>
        <w:rPr>
          <w:rFonts w:hint="eastAsia" w:ascii="宋体" w:hAnsi="宋体" w:cs="宋体"/>
          <w:bCs/>
          <w:color w:val="000000"/>
          <w:szCs w:val="21"/>
          <w:lang w:val="en-US" w:eastAsia="zh-CN"/>
        </w:rPr>
        <w:t>10</w:t>
      </w:r>
      <w:r>
        <w:rPr>
          <w:rFonts w:hint="eastAsia" w:ascii="宋体" w:hAnsi="宋体" w:cs="宋体"/>
          <w:bCs/>
          <w:color w:val="000000"/>
          <w:szCs w:val="21"/>
        </w:rPr>
        <w:t>。</w:t>
      </w:r>
    </w:p>
    <w:p>
      <w:pPr>
        <w:keepNext w:val="0"/>
        <w:keepLines w:val="0"/>
        <w:pageBreakBefore w:val="0"/>
        <w:kinsoku/>
        <w:wordWrap/>
        <w:overflowPunct/>
        <w:topLinePunct w:val="0"/>
        <w:autoSpaceDE/>
        <w:autoSpaceDN/>
        <w:bidi w:val="0"/>
        <w:spacing w:line="360" w:lineRule="auto"/>
        <w:ind w:firstLine="420"/>
        <w:textAlignment w:val="auto"/>
        <w:rPr>
          <w:rFonts w:hint="eastAsia" w:ascii="宋体" w:hAnsi="宋体" w:cs="宋体"/>
          <w:bCs/>
          <w:color w:val="000000"/>
          <w:szCs w:val="21"/>
        </w:rPr>
      </w:pPr>
      <w:r>
        <w:rPr>
          <w:rFonts w:hint="eastAsia" w:ascii="宋体" w:hAnsi="宋体" w:cs="宋体"/>
          <w:bCs/>
          <w:color w:val="000000"/>
          <w:szCs w:val="21"/>
          <w:lang w:val="en-US" w:eastAsia="zh-CN"/>
        </w:rPr>
        <w:t>2、</w:t>
      </w:r>
      <w:r>
        <w:rPr>
          <w:rFonts w:hint="eastAsia" w:ascii="宋体" w:hAnsi="宋体" w:cs="宋体"/>
          <w:b/>
          <w:bCs w:val="0"/>
          <w:color w:val="000000"/>
          <w:szCs w:val="21"/>
          <w:lang w:val="en-US" w:eastAsia="zh-CN"/>
        </w:rPr>
        <w:t>设备</w:t>
      </w:r>
      <w:r>
        <w:rPr>
          <w:rFonts w:hint="eastAsia" w:ascii="宋体" w:hAnsi="宋体" w:cs="宋体"/>
          <w:b/>
          <w:bCs w:val="0"/>
          <w:color w:val="000000"/>
          <w:szCs w:val="21"/>
        </w:rPr>
        <w:t>报价分</w:t>
      </w:r>
      <w:r>
        <w:rPr>
          <w:rFonts w:hint="eastAsia" w:ascii="宋体" w:hAnsi="宋体" w:cs="宋体"/>
          <w:bCs/>
          <w:color w:val="000000"/>
          <w:szCs w:val="21"/>
        </w:rPr>
        <w:t>采用低价优先法计算，即满足磋商文件要求且最终报价最低的</w:t>
      </w:r>
      <w:r>
        <w:rPr>
          <w:rFonts w:hint="eastAsia" w:ascii="宋体" w:hAnsi="宋体" w:cs="宋体"/>
          <w:b/>
          <w:bCs w:val="0"/>
          <w:color w:val="000000"/>
          <w:szCs w:val="21"/>
          <w:lang w:eastAsia="zh-CN"/>
        </w:rPr>
        <w:t>设备</w:t>
      </w:r>
      <w:r>
        <w:rPr>
          <w:rFonts w:hint="eastAsia" w:ascii="宋体" w:hAnsi="宋体" w:cs="宋体"/>
          <w:b/>
          <w:bCs w:val="0"/>
          <w:color w:val="000000"/>
          <w:szCs w:val="21"/>
        </w:rPr>
        <w:t>报价</w:t>
      </w:r>
      <w:r>
        <w:rPr>
          <w:rFonts w:hint="eastAsia" w:ascii="宋体" w:hAnsi="宋体" w:cs="宋体"/>
          <w:bCs/>
          <w:color w:val="000000"/>
          <w:szCs w:val="21"/>
        </w:rPr>
        <w:t>为评标基准价，得满分</w:t>
      </w:r>
      <w:r>
        <w:rPr>
          <w:rFonts w:hint="eastAsia" w:ascii="宋体" w:hAnsi="宋体" w:cs="宋体"/>
          <w:bCs/>
          <w:color w:val="000000"/>
          <w:szCs w:val="21"/>
          <w:lang w:val="en-US" w:eastAsia="zh-CN"/>
        </w:rPr>
        <w:t>10</w:t>
      </w:r>
      <w:r>
        <w:rPr>
          <w:rFonts w:hint="eastAsia" w:ascii="宋体" w:hAnsi="宋体" w:cs="宋体"/>
          <w:bCs/>
          <w:color w:val="000000"/>
          <w:szCs w:val="21"/>
        </w:rPr>
        <w:t>分，其他响应供应商的价格分按照下列公式计算：</w:t>
      </w:r>
      <w:r>
        <w:rPr>
          <w:rFonts w:hint="eastAsia" w:ascii="宋体" w:hAnsi="宋体" w:cs="宋体"/>
          <w:b/>
          <w:bCs w:val="0"/>
          <w:color w:val="000000"/>
          <w:szCs w:val="21"/>
          <w:lang w:eastAsia="zh-CN"/>
        </w:rPr>
        <w:t>设备</w:t>
      </w:r>
      <w:r>
        <w:rPr>
          <w:rFonts w:hint="eastAsia" w:ascii="宋体" w:hAnsi="宋体" w:cs="宋体"/>
          <w:b/>
          <w:bCs w:val="0"/>
          <w:color w:val="000000"/>
          <w:szCs w:val="21"/>
        </w:rPr>
        <w:t>价格分</w:t>
      </w:r>
      <w:r>
        <w:rPr>
          <w:rFonts w:hint="eastAsia" w:ascii="宋体" w:hAnsi="宋体" w:cs="宋体"/>
          <w:bCs/>
          <w:color w:val="000000"/>
          <w:szCs w:val="21"/>
        </w:rPr>
        <w:t>=（评标基准价/</w:t>
      </w:r>
      <w:r>
        <w:rPr>
          <w:rFonts w:hint="eastAsia" w:ascii="宋体" w:hAnsi="宋体" w:cs="宋体"/>
          <w:b/>
          <w:bCs w:val="0"/>
          <w:color w:val="000000"/>
          <w:szCs w:val="21"/>
          <w:lang w:eastAsia="zh-CN"/>
        </w:rPr>
        <w:t>设备</w:t>
      </w:r>
      <w:r>
        <w:rPr>
          <w:rFonts w:hint="eastAsia" w:ascii="宋体" w:hAnsi="宋体" w:cs="宋体"/>
          <w:b/>
          <w:bCs w:val="0"/>
          <w:color w:val="000000"/>
          <w:szCs w:val="21"/>
        </w:rPr>
        <w:t>投标报价</w:t>
      </w:r>
      <w:r>
        <w:rPr>
          <w:rFonts w:hint="eastAsia" w:ascii="宋体" w:hAnsi="宋体" w:cs="宋体"/>
          <w:bCs/>
          <w:color w:val="000000"/>
          <w:szCs w:val="21"/>
        </w:rPr>
        <w:t>）×</w:t>
      </w:r>
      <w:r>
        <w:rPr>
          <w:rFonts w:hint="eastAsia" w:ascii="宋体" w:hAnsi="宋体" w:cs="宋体"/>
          <w:bCs/>
          <w:color w:val="000000"/>
          <w:szCs w:val="21"/>
          <w:lang w:val="en-US" w:eastAsia="zh-CN"/>
        </w:rPr>
        <w:t>10</w:t>
      </w:r>
      <w:r>
        <w:rPr>
          <w:rFonts w:hint="eastAsia" w:ascii="宋体" w:hAnsi="宋体" w:cs="宋体"/>
          <w:bCs/>
          <w:color w:val="000000"/>
          <w:szCs w:val="21"/>
        </w:rPr>
        <w:t>。</w:t>
      </w:r>
    </w:p>
    <w:p>
      <w:pPr>
        <w:pStyle w:val="14"/>
        <w:rPr>
          <w:rFonts w:hint="default" w:eastAsia="宋体"/>
          <w:b/>
          <w:bCs w:val="0"/>
          <w:lang w:val="en-US" w:eastAsia="zh-CN"/>
        </w:rPr>
      </w:pPr>
      <w:r>
        <w:rPr>
          <w:rFonts w:hint="eastAsia" w:ascii="宋体" w:hAnsi="宋体" w:cs="宋体"/>
          <w:b/>
          <w:bCs w:val="0"/>
          <w:color w:val="000000"/>
          <w:szCs w:val="21"/>
          <w:lang w:eastAsia="zh-CN"/>
        </w:rPr>
        <w:t>价格分为消杀报价分</w:t>
      </w:r>
      <w:r>
        <w:rPr>
          <w:rFonts w:hint="eastAsia" w:ascii="宋体" w:hAnsi="宋体" w:cs="宋体"/>
          <w:b/>
          <w:bCs w:val="0"/>
          <w:color w:val="000000"/>
          <w:szCs w:val="21"/>
          <w:lang w:val="en-US" w:eastAsia="zh-CN"/>
        </w:rPr>
        <w:t>+设备报价分。</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bCs/>
          <w:color w:val="000000"/>
          <w:szCs w:val="21"/>
          <w:lang w:val="zh-CN"/>
        </w:rPr>
      </w:pPr>
      <w:r>
        <w:rPr>
          <w:rFonts w:hint="eastAsia" w:ascii="宋体" w:hAnsi="宋体" w:cs="宋体"/>
          <w:bCs/>
          <w:color w:val="000000"/>
          <w:szCs w:val="21"/>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pPr>
        <w:numPr>
          <w:ilvl w:val="0"/>
          <w:numId w:val="0"/>
        </w:numPr>
        <w:spacing w:line="400" w:lineRule="exact"/>
        <w:ind w:firstLine="428" w:firstLineChars="200"/>
        <w:rPr>
          <w:rFonts w:hint="eastAsia" w:ascii="宋体" w:hAnsi="宋体" w:cs="宋体"/>
          <w:b/>
          <w:bCs/>
          <w:color w:val="000000"/>
          <w:szCs w:val="21"/>
          <w:highlight w:val="yellow"/>
        </w:rPr>
      </w:pPr>
      <w:r>
        <w:rPr>
          <w:rFonts w:hint="eastAsia" w:ascii="宋体" w:hAnsi="宋体" w:cs="宋体"/>
          <w:b/>
          <w:bCs/>
          <w:color w:val="000000"/>
          <w:szCs w:val="21"/>
          <w:highlight w:val="none"/>
          <w:lang w:eastAsia="zh-CN"/>
        </w:rPr>
        <w:t>（</w:t>
      </w:r>
      <w:r>
        <w:rPr>
          <w:rFonts w:hint="eastAsia" w:ascii="宋体" w:hAnsi="宋体" w:cs="宋体"/>
          <w:b/>
          <w:bCs/>
          <w:color w:val="000000"/>
          <w:szCs w:val="21"/>
          <w:highlight w:val="none"/>
          <w:lang w:val="en-US" w:eastAsia="zh-CN"/>
        </w:rPr>
        <w:t>二</w:t>
      </w:r>
      <w:r>
        <w:rPr>
          <w:rFonts w:hint="eastAsia" w:ascii="宋体" w:hAnsi="宋体" w:cs="宋体"/>
          <w:b/>
          <w:bCs/>
          <w:color w:val="000000"/>
          <w:szCs w:val="21"/>
          <w:highlight w:val="none"/>
          <w:lang w:eastAsia="zh-CN"/>
        </w:rPr>
        <w:t>）</w:t>
      </w:r>
      <w:r>
        <w:rPr>
          <w:rFonts w:hint="eastAsia" w:ascii="宋体" w:hAnsi="宋体" w:cs="宋体"/>
          <w:b/>
          <w:bCs/>
          <w:color w:val="000000"/>
          <w:szCs w:val="21"/>
          <w:highlight w:val="none"/>
        </w:rPr>
        <w:t>资信技术分（</w:t>
      </w:r>
      <w:r>
        <w:rPr>
          <w:rFonts w:hint="eastAsia" w:ascii="宋体" w:hAnsi="宋体" w:cs="宋体"/>
          <w:b/>
          <w:bCs/>
          <w:color w:val="000000"/>
          <w:szCs w:val="21"/>
          <w:highlight w:val="none"/>
          <w:lang w:val="en-US" w:eastAsia="zh-CN"/>
        </w:rPr>
        <w:t>80</w:t>
      </w:r>
      <w:r>
        <w:rPr>
          <w:rFonts w:hint="eastAsia" w:ascii="宋体" w:hAnsi="宋体" w:cs="宋体"/>
          <w:b/>
          <w:bCs/>
          <w:color w:val="000000"/>
          <w:szCs w:val="21"/>
          <w:highlight w:val="none"/>
        </w:rPr>
        <w:t>分）</w:t>
      </w:r>
    </w:p>
    <w:tbl>
      <w:tblPr>
        <w:tblStyle w:val="27"/>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165"/>
        <w:gridCol w:w="796"/>
        <w:gridCol w:w="6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内容</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分值</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资质证书情况</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rPr>
              <w:t>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投标人具有注册或服务所在地卫生主管部门备案的确认书且同时具有市级及以上病媒生物消杀专业机构资质证书甲级的得1分，乙级不得分；有国家有害生物防制服务机构服务能力证书A级和有市级有害生物防制服务机构服务能力证书特级各加1分。</w:t>
            </w:r>
          </w:p>
          <w:p>
            <w:pPr>
              <w:numPr>
                <w:ilvl w:val="0"/>
                <w:numId w:val="0"/>
              </w:numPr>
              <w:rPr>
                <w:rFonts w:hint="default"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bidi="ar-SA"/>
              </w:rPr>
              <w:t>注：以投标文件所附备案确认书、资质证书复印件为评分依据。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从业人员持证上岗</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0-3分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须固定3名消杀人员，拟派作业人员持有职业鉴定技术中心颁发或浙江省“除四害”科技协会颁发的培训合格证，每一个得1分，最高3分。</w:t>
            </w:r>
          </w:p>
          <w:p>
            <w:pPr>
              <w:numPr>
                <w:ilvl w:val="0"/>
                <w:numId w:val="0"/>
              </w:numPr>
              <w:jc w:val="both"/>
              <w:rPr>
                <w:rFonts w:hint="default"/>
                <w:highlight w:val="none"/>
                <w:lang w:val="en-US" w:eastAsia="zh-CN"/>
              </w:rPr>
            </w:pPr>
            <w:r>
              <w:rPr>
                <w:rFonts w:hint="eastAsia" w:ascii="宋体" w:hAnsi="宋体" w:eastAsia="宋体" w:cs="宋体"/>
                <w:color w:val="000000"/>
                <w:sz w:val="24"/>
                <w:szCs w:val="24"/>
                <w:highlight w:val="none"/>
                <w:lang w:val="en-US" w:eastAsia="zh-CN"/>
              </w:rPr>
              <w:t>注：以投标文件所附从业人员上岗证、近6个月在职社保缴纳证明材料复印件为评分依据；若作业人员为退休返聘人员，提供1月前意外险复印件为评分依据，每片区消杀人员重复不得分。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项目管理人员</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0-3分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项目管理人员具有中级及以上“有害生物防制员”证书，从事本专业工作5年以上工作经验的得3分，从事本专业工作3年以上5年以下的得2分，低于3年的得1分。</w:t>
            </w:r>
          </w:p>
          <w:p>
            <w:pPr>
              <w:numPr>
                <w:ilvl w:val="0"/>
                <w:numId w:val="0"/>
              </w:numPr>
              <w:jc w:val="both"/>
              <w:rPr>
                <w:rFonts w:hint="default"/>
                <w:highlight w:val="none"/>
                <w:lang w:val="en-US" w:eastAsia="zh-CN"/>
              </w:rPr>
            </w:pPr>
            <w:r>
              <w:rPr>
                <w:rFonts w:hint="eastAsia" w:ascii="宋体" w:hAnsi="宋体" w:eastAsia="宋体" w:cs="宋体"/>
                <w:color w:val="000000"/>
                <w:sz w:val="24"/>
                <w:szCs w:val="24"/>
                <w:highlight w:val="none"/>
                <w:lang w:val="en-US" w:eastAsia="zh-CN"/>
              </w:rPr>
              <w:t>注：以项目管理人员从业上岗证、近6个月在职社保缴纳证明材料复印件为依据。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投标人综合实力</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0-3分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依据投标人提供相关资料关于政府国卫创建巩固、病媒生物创建、登革热应急消杀等指令性任务、配合社区参加各项公益活动等进行评定。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服务业绩</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0-2分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根据投标提供2021年1月1日至今已完成的政府公共环境项目案例，提供合同复印件，每个得1分，最高2分；需提供合同复印件（以签订合同时间为准，提供合同复印件）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6</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技术方案</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0-25分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（1）社区、建筑、外环境的特点认识情况（6-10分）依据投标文件所体现的相关内容，横向比较后进行评分。各投标文件所附外环境调查报告横向比较后进行评分。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（2）防治对象、种类、孳生地调查、密度监测控制方法（0-5分）依据投标文件所体现的相关内容，横向比较后进行评分。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（3）技术方案的可操作性情况（0-5分）各投标文件所附技术方案横向比较后进行评分。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（4）选择药物的合理性，对不同环境的用药措施及方法的可行性（0-3分）</w:t>
            </w:r>
          </w:p>
          <w:p>
            <w:pPr>
              <w:numPr>
                <w:ilvl w:val="0"/>
                <w:numId w:val="0"/>
              </w:numPr>
              <w:jc w:val="both"/>
              <w:rPr>
                <w:rFonts w:hint="eastAsia"/>
                <w:highlight w:val="none"/>
                <w:lang w:val="en-US" w:eastAsia="zh-CN"/>
              </w:rPr>
            </w:pPr>
            <w:r>
              <w:rPr>
                <w:rFonts w:hint="eastAsia" w:ascii="宋体" w:hAnsi="宋体" w:cs="宋体"/>
                <w:color w:val="000000"/>
                <w:sz w:val="24"/>
                <w:szCs w:val="24"/>
                <w:highlight w:val="none"/>
                <w:lang w:val="en-US" w:eastAsia="zh-CN"/>
              </w:rPr>
              <w:t>（5）所采取的技术和方法对外环境的适应情况（0-2分）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7</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实施方案</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0-20分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（1）对完成病媒生物防制工作总体思路是否正确，实施细则是否完善（0-5分）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（2）对病媒生物防制工作特点的认识情况（0-3分）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（3）对每种害虫防治的周期安排是否合理（0-4分）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（4）对每种害虫密度监测计划安排、监测方法是否科学合理（0-3分）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（5）人员组织和设备安排是否合理（0-5分）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8</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设施设备</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0-5分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（1）配备超低容量喷雾器1台得0.5分，每增加1台增加0.5分，本项目最高得2分，（0-2分）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（2）配备热烟雾机1台的得1分，每增加1台增加1分，本项最多得2分，没有不得分（0-2分）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（3）配备工具车1辆，没有不得分（0-1分）</w:t>
            </w:r>
          </w:p>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 xml:space="preserve">注：以上设备须为自有设备，须提供相关设备采购发票及采购合同、车辆行驶证，不提供不得分。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9</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人员、安全、质量管理制度</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0-6分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依据投标文件所提供的人员、安全、质量管理制度的相关内容进行评审，每项2分。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突发事件应急措施、其他活动配合措施</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0-5分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依据投标文件所提供的突发事件应急措施、其他活动配合措施的相关内容，进行评分。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11</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场所情况</w:t>
            </w:r>
          </w:p>
        </w:tc>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0-5分</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有就近固定的工作场所和独立的药械库房；通风条件良好，防火防盗措施落实；药械存放整齐、有序；符合安全存放要求；药械出入有存档。</w:t>
            </w:r>
          </w:p>
          <w:p>
            <w:pPr>
              <w:numPr>
                <w:ilvl w:val="0"/>
                <w:numId w:val="0"/>
              </w:numPr>
              <w:jc w:val="both"/>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注：以图片证明及文字描述为评分依据,标注场所所在地。</w:t>
            </w:r>
          </w:p>
        </w:tc>
      </w:tr>
    </w:tbl>
    <w:p>
      <w:pPr>
        <w:spacing w:line="400" w:lineRule="exact"/>
        <w:ind w:firstLine="568" w:firstLineChars="200"/>
        <w:rPr>
          <w:rFonts w:hint="default" w:ascii="宋体" w:hAnsi="宋体" w:eastAsia="宋体" w:cs="宋体"/>
          <w:b/>
          <w:bCs/>
          <w:color w:val="000000"/>
          <w:sz w:val="28"/>
          <w:szCs w:val="28"/>
          <w:lang w:val="en-US" w:eastAsia="zh-CN"/>
        </w:rPr>
      </w:pPr>
      <w:r>
        <w:rPr>
          <w:rFonts w:hint="eastAsia" w:ascii="宋体" w:hAnsi="宋体" w:cs="宋体"/>
          <w:b/>
          <w:bCs/>
          <w:color w:val="000000"/>
          <w:sz w:val="28"/>
          <w:szCs w:val="28"/>
          <w:lang w:val="en-US" w:eastAsia="zh-CN"/>
        </w:rPr>
        <w:t>注：以上资料均需加盖单位公章。</w:t>
      </w:r>
    </w:p>
    <w:p>
      <w:pPr>
        <w:spacing w:line="400" w:lineRule="exact"/>
        <w:ind w:firstLine="428" w:firstLineChars="200"/>
        <w:rPr>
          <w:rFonts w:hint="default" w:ascii="宋体" w:hAnsi="宋体" w:cs="宋体"/>
          <w:b/>
          <w:bCs/>
          <w:color w:val="000000"/>
          <w:szCs w:val="21"/>
        </w:rPr>
      </w:pPr>
      <w:r>
        <w:rPr>
          <w:rFonts w:hint="default" w:ascii="宋体" w:hAnsi="宋体" w:cs="宋体"/>
          <w:b/>
          <w:bCs/>
          <w:color w:val="000000"/>
          <w:szCs w:val="21"/>
        </w:rPr>
        <w:t>（三）评标委员会按综合得分高低顺序排列，综合得分</w:t>
      </w:r>
      <w:r>
        <w:rPr>
          <w:rFonts w:hint="eastAsia" w:ascii="宋体" w:hAnsi="宋体" w:cs="宋体"/>
          <w:b/>
          <w:bCs/>
          <w:color w:val="000000"/>
          <w:szCs w:val="21"/>
          <w:lang w:eastAsia="zh-CN"/>
        </w:rPr>
        <w:t>最高</w:t>
      </w:r>
      <w:r>
        <w:rPr>
          <w:rFonts w:hint="default" w:ascii="宋体" w:hAnsi="宋体" w:cs="宋体"/>
          <w:b/>
          <w:bCs/>
          <w:color w:val="000000"/>
          <w:szCs w:val="21"/>
        </w:rPr>
        <w:t>供应商作为推荐中标候选人，并提交评标报告。得分相同的，按投标报价由低到高顺序排列。得分相同报价也相同的，由评委投票决定排序。</w:t>
      </w:r>
      <w:bookmarkEnd w:id="23"/>
      <w:bookmarkEnd w:id="24"/>
    </w:p>
    <w:p>
      <w:pPr>
        <w:spacing w:line="400" w:lineRule="exact"/>
        <w:ind w:firstLine="428" w:firstLineChars="200"/>
        <w:rPr>
          <w:rFonts w:hint="default" w:ascii="宋体" w:hAnsi="宋体" w:cs="宋体"/>
          <w:b/>
          <w:bCs/>
          <w:color w:val="000000"/>
          <w:szCs w:val="21"/>
        </w:rPr>
      </w:pPr>
      <w:bookmarkStart w:id="25" w:name="_Toc10349"/>
      <w:bookmarkStart w:id="26" w:name="_Toc2138"/>
      <w:r>
        <w:rPr>
          <w:rFonts w:hint="default" w:ascii="宋体" w:hAnsi="宋体" w:cs="宋体"/>
          <w:b/>
          <w:bCs/>
          <w:color w:val="000000"/>
          <w:szCs w:val="21"/>
        </w:rPr>
        <w:t>（四）本办法解释权归采购人所有。</w:t>
      </w:r>
      <w:bookmarkEnd w:id="25"/>
      <w:bookmarkEnd w:id="26"/>
    </w:p>
    <w:p>
      <w:pPr>
        <w:widowControl w:val="0"/>
        <w:spacing w:line="420" w:lineRule="auto"/>
        <w:jc w:val="both"/>
        <w:outlineLvl w:val="9"/>
        <w:rPr>
          <w:rFonts w:ascii="宋体" w:hAnsi="宋体"/>
          <w:szCs w:val="21"/>
        </w:rPr>
      </w:pPr>
    </w:p>
    <w:p>
      <w:pPr>
        <w:pStyle w:val="3"/>
        <w:keepNext w:val="0"/>
        <w:keepLines w:val="0"/>
        <w:pageBreakBefore/>
        <w:spacing w:beforeLines="100" w:afterLines="100" w:line="240" w:lineRule="auto"/>
        <w:jc w:val="center"/>
        <w:rPr>
          <w:rFonts w:ascii="Arial" w:hAnsi="Arial" w:cs="Arial"/>
          <w:sz w:val="28"/>
          <w:szCs w:val="36"/>
        </w:rPr>
      </w:pPr>
      <w:bookmarkStart w:id="27" w:name="_Toc16495"/>
      <w:r>
        <w:rPr>
          <w:rFonts w:hint="eastAsia" w:ascii="Arial" w:hAnsi="Arial" w:cs="Arial"/>
          <w:sz w:val="28"/>
          <w:szCs w:val="36"/>
        </w:rPr>
        <w:t>第六部分</w:t>
      </w:r>
      <w:r>
        <w:rPr>
          <w:rFonts w:hint="eastAsia" w:ascii="Arial" w:hAnsi="Arial" w:cs="Arial"/>
          <w:sz w:val="28"/>
          <w:szCs w:val="36"/>
          <w:lang w:val="en-US" w:eastAsia="zh-CN"/>
        </w:rPr>
        <w:t xml:space="preserve"> </w:t>
      </w:r>
      <w:r>
        <w:rPr>
          <w:rFonts w:hint="eastAsia" w:ascii="Arial" w:hAnsi="Arial" w:cs="Arial"/>
          <w:sz w:val="28"/>
          <w:szCs w:val="36"/>
        </w:rPr>
        <w:t>竞争性磋商响应文件格式</w:t>
      </w:r>
      <w:bookmarkEnd w:id="27"/>
    </w:p>
    <w:p>
      <w:pPr>
        <w:snapToGrid w:val="0"/>
        <w:spacing w:beforeLines="200" w:afterLines="50"/>
        <w:jc w:val="center"/>
        <w:rPr>
          <w:rFonts w:ascii="Arial" w:hAnsi="Arial" w:cs="Arial"/>
          <w:b/>
          <w:bCs/>
          <w:sz w:val="28"/>
        </w:rPr>
      </w:pPr>
      <w:r>
        <w:rPr>
          <w:rFonts w:ascii="Arial" w:hAnsi="Arial" w:cs="Arial"/>
          <w:b/>
          <w:bCs/>
          <w:sz w:val="28"/>
        </w:rPr>
        <w:t>竞争性磋商供应商提交竞争性磋商响应文件须知</w:t>
      </w:r>
    </w:p>
    <w:p>
      <w:pPr>
        <w:snapToGrid w:val="0"/>
        <w:jc w:val="center"/>
        <w:rPr>
          <w:rFonts w:ascii="Arial" w:hAnsi="Arial" w:cs="Arial"/>
          <w:sz w:val="28"/>
          <w:szCs w:val="21"/>
        </w:rPr>
      </w:pPr>
    </w:p>
    <w:p>
      <w:pPr>
        <w:pStyle w:val="73"/>
        <w:numPr>
          <w:ilvl w:val="1"/>
          <w:numId w:val="5"/>
        </w:numPr>
        <w:snapToGrid w:val="0"/>
        <w:spacing w:line="360" w:lineRule="auto"/>
        <w:ind w:left="850" w:hanging="357" w:firstLineChars="0"/>
        <w:rPr>
          <w:rFonts w:ascii="Arial" w:hAnsi="Arial" w:cs="Arial"/>
          <w:szCs w:val="22"/>
        </w:rPr>
      </w:pPr>
      <w:r>
        <w:rPr>
          <w:rFonts w:ascii="Arial" w:hAnsi="Arial" w:cs="Arial"/>
          <w:szCs w:val="22"/>
        </w:rPr>
        <w:t>竞争性磋商供应商应严格按照竞争性磋商响应文件的组成提交下述规定的全部格式文件以及其他有关资料，混乱的编排导致竞争性磋商响应文件被误读或采购代理机构、竞争性磋商小组查找不到有效文件是竞争性磋商供应商的风险。</w:t>
      </w:r>
    </w:p>
    <w:p>
      <w:pPr>
        <w:pStyle w:val="73"/>
        <w:numPr>
          <w:ilvl w:val="1"/>
          <w:numId w:val="5"/>
        </w:numPr>
        <w:snapToGrid w:val="0"/>
        <w:spacing w:line="360" w:lineRule="auto"/>
        <w:ind w:left="850" w:hanging="357" w:firstLineChars="0"/>
        <w:rPr>
          <w:rFonts w:ascii="Arial" w:hAnsi="Arial" w:cs="Arial"/>
          <w:szCs w:val="22"/>
        </w:rPr>
      </w:pPr>
      <w:r>
        <w:rPr>
          <w:rFonts w:ascii="Arial" w:hAnsi="Arial" w:cs="Arial"/>
          <w:szCs w:val="22"/>
        </w:rPr>
        <w:t>所附表格中要求回答的全部问题和/或信息都必须正面回答。</w:t>
      </w:r>
    </w:p>
    <w:p>
      <w:pPr>
        <w:pStyle w:val="73"/>
        <w:numPr>
          <w:ilvl w:val="1"/>
          <w:numId w:val="5"/>
        </w:numPr>
        <w:snapToGrid w:val="0"/>
        <w:spacing w:line="360" w:lineRule="auto"/>
        <w:ind w:left="850" w:hanging="357" w:firstLineChars="0"/>
        <w:rPr>
          <w:rFonts w:ascii="Arial" w:hAnsi="Arial" w:cs="Arial"/>
          <w:szCs w:val="22"/>
        </w:rPr>
      </w:pPr>
      <w:r>
        <w:rPr>
          <w:rFonts w:ascii="Arial" w:hAnsi="Arial" w:cs="Arial"/>
          <w:szCs w:val="22"/>
        </w:rPr>
        <w:t>本资格声明的签字人应保证全部声明和问题的回答是真实的和准确的。</w:t>
      </w:r>
    </w:p>
    <w:p>
      <w:pPr>
        <w:pStyle w:val="73"/>
        <w:numPr>
          <w:ilvl w:val="1"/>
          <w:numId w:val="5"/>
        </w:numPr>
        <w:snapToGrid w:val="0"/>
        <w:spacing w:line="360" w:lineRule="auto"/>
        <w:ind w:left="850" w:hanging="357" w:firstLineChars="0"/>
        <w:rPr>
          <w:rFonts w:ascii="Arial" w:hAnsi="Arial" w:cs="Arial"/>
          <w:szCs w:val="22"/>
        </w:rPr>
      </w:pPr>
      <w:r>
        <w:rPr>
          <w:rFonts w:ascii="Arial" w:hAnsi="Arial" w:cs="Arial"/>
          <w:szCs w:val="22"/>
        </w:rPr>
        <w:t>采购代理机构将应用竞争性磋商供应商提交的资料根据自己的判断和考虑决定竞争性磋商供应商履行合同的合格性及能力。</w:t>
      </w:r>
    </w:p>
    <w:p>
      <w:pPr>
        <w:pStyle w:val="73"/>
        <w:numPr>
          <w:ilvl w:val="1"/>
          <w:numId w:val="5"/>
        </w:numPr>
        <w:snapToGrid w:val="0"/>
        <w:spacing w:line="360" w:lineRule="auto"/>
        <w:ind w:left="850" w:hanging="357" w:firstLineChars="0"/>
        <w:rPr>
          <w:rFonts w:ascii="Arial" w:hAnsi="Arial" w:cs="Arial"/>
          <w:szCs w:val="22"/>
        </w:rPr>
      </w:pPr>
      <w:r>
        <w:rPr>
          <w:rFonts w:ascii="Arial" w:hAnsi="Arial" w:cs="Arial"/>
          <w:szCs w:val="22"/>
        </w:rPr>
        <w:t>竞争性磋商供应商提交的材料将被保密保存，但不退还。</w:t>
      </w:r>
    </w:p>
    <w:p>
      <w:pPr>
        <w:pStyle w:val="73"/>
        <w:numPr>
          <w:ilvl w:val="1"/>
          <w:numId w:val="5"/>
        </w:numPr>
        <w:snapToGrid w:val="0"/>
        <w:spacing w:line="360" w:lineRule="auto"/>
        <w:ind w:left="850" w:hanging="357" w:firstLineChars="0"/>
        <w:rPr>
          <w:rFonts w:ascii="Arial" w:hAnsi="Arial" w:cs="Arial"/>
        </w:rPr>
      </w:pPr>
      <w:r>
        <w:rPr>
          <w:rFonts w:ascii="Arial" w:hAnsi="Arial" w:cs="Arial"/>
          <w:szCs w:val="22"/>
        </w:rPr>
        <w:t>全部文件应按竞争性磋商供应商须知中规定的语言提交。</w:t>
      </w:r>
    </w:p>
    <w:p>
      <w:pPr>
        <w:pStyle w:val="73"/>
        <w:snapToGrid w:val="0"/>
        <w:spacing w:line="400" w:lineRule="exact"/>
        <w:ind w:left="851" w:firstLine="0" w:firstLineChars="0"/>
        <w:rPr>
          <w:rFonts w:ascii="Arial" w:hAnsi="Arial" w:cs="Arial"/>
        </w:rPr>
      </w:pPr>
    </w:p>
    <w:p>
      <w:pPr>
        <w:rPr>
          <w:rFonts w:ascii="Arial" w:hAnsi="Arial" w:cs="Arial"/>
          <w:szCs w:val="21"/>
        </w:rPr>
      </w:pPr>
    </w:p>
    <w:p>
      <w:pPr>
        <w:jc w:val="center"/>
        <w:outlineLvl w:val="1"/>
        <w:rPr>
          <w:b/>
          <w:sz w:val="28"/>
        </w:rPr>
        <w:sectPr>
          <w:headerReference r:id="rId12" w:type="default"/>
          <w:footerReference r:id="rId13" w:type="default"/>
          <w:pgSz w:w="11849" w:h="16781"/>
          <w:pgMar w:top="1417" w:right="1417" w:bottom="1417" w:left="1417" w:header="850" w:footer="992" w:gutter="0"/>
          <w:pgBorders>
            <w:top w:val="none" w:sz="0" w:space="0"/>
            <w:left w:val="none" w:sz="0" w:space="0"/>
            <w:bottom w:val="none" w:sz="0" w:space="0"/>
            <w:right w:val="none" w:sz="0" w:space="0"/>
          </w:pgBorders>
          <w:cols w:space="0" w:num="1"/>
          <w:rtlGutter w:val="0"/>
          <w:docGrid w:type="linesAndChars" w:linePitch="333" w:charSpace="950"/>
        </w:sectPr>
      </w:pPr>
    </w:p>
    <w:p>
      <w:pPr>
        <w:snapToGrid w:val="0"/>
        <w:spacing w:line="360" w:lineRule="auto"/>
        <w:jc w:val="center"/>
        <w:outlineLvl w:val="9"/>
        <w:rPr>
          <w:rFonts w:hint="eastAsia" w:ascii="宋体" w:hAnsi="宋体" w:cs="宋体"/>
          <w:b/>
          <w:bCs/>
          <w:szCs w:val="21"/>
        </w:rPr>
      </w:pPr>
      <w:bookmarkStart w:id="28" w:name="_Toc429468093"/>
      <w:bookmarkStart w:id="29" w:name="_Toc2408"/>
      <w:bookmarkStart w:id="30" w:name="_Toc13174"/>
      <w:bookmarkStart w:id="31" w:name="_Toc429468195"/>
      <w:bookmarkStart w:id="32" w:name="_Toc26186"/>
      <w:bookmarkStart w:id="33" w:name="_Toc4524"/>
      <w:bookmarkStart w:id="34" w:name="_Toc497722825"/>
      <w:bookmarkStart w:id="35" w:name="_Toc12361"/>
      <w:r>
        <w:rPr>
          <w:rFonts w:hint="eastAsia" w:ascii="宋体" w:hAnsi="宋体" w:cs="宋体"/>
          <w:b/>
          <w:bCs/>
          <w:szCs w:val="21"/>
        </w:rPr>
        <w:t>一、投标文件外层包装封面格式</w:t>
      </w:r>
      <w:bookmarkEnd w:id="28"/>
      <w:bookmarkEnd w:id="29"/>
      <w:bookmarkEnd w:id="30"/>
      <w:bookmarkEnd w:id="31"/>
      <w:bookmarkEnd w:id="32"/>
      <w:bookmarkEnd w:id="33"/>
      <w:bookmarkEnd w:id="34"/>
      <w:bookmarkEnd w:id="35"/>
    </w:p>
    <w:p>
      <w:pPr>
        <w:snapToGrid w:val="0"/>
        <w:spacing w:line="360" w:lineRule="auto"/>
        <w:rPr>
          <w:rFonts w:hint="eastAsia" w:ascii="宋体" w:hAnsi="宋体" w:cs="宋体"/>
          <w:b/>
          <w:color w:val="000000"/>
          <w:szCs w:val="21"/>
        </w:rPr>
      </w:pPr>
      <w:r>
        <w:rPr>
          <w:rFonts w:hint="eastAsia" w:ascii="宋体" w:hAnsi="宋体" w:cs="宋体"/>
          <w:b/>
          <w:color w:val="000000"/>
          <w:szCs w:val="21"/>
        </w:rPr>
        <w:t>1、所有投标文件的外包装封面格式：(可选用)</w:t>
      </w:r>
    </w:p>
    <w:p>
      <w:pPr>
        <w:snapToGrid w:val="0"/>
        <w:spacing w:line="360" w:lineRule="auto"/>
        <w:jc w:val="center"/>
        <w:rPr>
          <w:rFonts w:hint="eastAsia" w:ascii="宋体" w:hAnsi="宋体" w:cs="宋体"/>
          <w:bCs/>
          <w:color w:val="000000"/>
          <w:szCs w:val="21"/>
        </w:rPr>
      </w:pPr>
      <w:r>
        <w:rPr>
          <w:rFonts w:hint="eastAsia" w:ascii="宋体" w:hAnsi="宋体" w:cs="宋体"/>
          <w:b/>
          <w:bCs/>
          <w:color w:val="000000"/>
          <w:szCs w:val="21"/>
        </w:rPr>
        <w:t xml:space="preserve">                                            </w:t>
      </w:r>
    </w:p>
    <w:p>
      <w:pPr>
        <w:snapToGrid w:val="0"/>
        <w:spacing w:line="360" w:lineRule="auto"/>
        <w:jc w:val="center"/>
        <w:rPr>
          <w:rFonts w:hint="eastAsia" w:ascii="宋体" w:hAnsi="宋体" w:cs="宋体"/>
          <w:bCs/>
          <w:color w:val="000000"/>
          <w:szCs w:val="21"/>
        </w:rPr>
      </w:pPr>
      <w:r>
        <w:rPr>
          <w:rFonts w:hint="eastAsia" w:ascii="宋体" w:hAnsi="宋体" w:cs="宋体"/>
          <w:bCs/>
          <w:color w:val="000000"/>
          <w:szCs w:val="21"/>
        </w:rPr>
        <w:t>投 标 文 件</w:t>
      </w:r>
    </w:p>
    <w:p>
      <w:pPr>
        <w:snapToGrid w:val="0"/>
        <w:spacing w:line="360" w:lineRule="auto"/>
        <w:rPr>
          <w:rFonts w:hint="eastAsia" w:ascii="宋体" w:hAnsi="宋体" w:cs="宋体"/>
          <w:bCs/>
          <w:color w:val="000000"/>
          <w:szCs w:val="21"/>
        </w:rPr>
      </w:pPr>
    </w:p>
    <w:p>
      <w:pPr>
        <w:snapToGrid w:val="0"/>
        <w:spacing w:line="360" w:lineRule="auto"/>
        <w:ind w:firstLine="934" w:firstLineChars="445"/>
        <w:rPr>
          <w:rFonts w:hint="eastAsia" w:ascii="宋体" w:hAnsi="宋体" w:cs="宋体"/>
          <w:bCs/>
          <w:color w:val="000000"/>
          <w:szCs w:val="21"/>
        </w:rPr>
      </w:pPr>
      <w:r>
        <w:rPr>
          <w:rFonts w:hint="eastAsia" w:ascii="宋体" w:hAnsi="宋体" w:cs="宋体"/>
          <w:bCs/>
          <w:color w:val="000000"/>
          <w:szCs w:val="21"/>
        </w:rPr>
        <w:t>项目名称：</w:t>
      </w:r>
    </w:p>
    <w:p>
      <w:pPr>
        <w:snapToGri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 xml:space="preserve">     项目编号：    </w:t>
      </w:r>
    </w:p>
    <w:p>
      <w:pPr>
        <w:pStyle w:val="7"/>
        <w:snapToGrid w:val="0"/>
        <w:spacing w:line="360" w:lineRule="auto"/>
        <w:ind w:firstLine="892" w:firstLineChars="425"/>
        <w:rPr>
          <w:rFonts w:hint="eastAsia" w:ascii="宋体" w:hAnsi="宋体" w:cs="宋体"/>
          <w:bCs/>
          <w:color w:val="000000"/>
          <w:szCs w:val="21"/>
        </w:rPr>
      </w:pPr>
      <w:r>
        <w:rPr>
          <w:rFonts w:hint="eastAsia" w:ascii="宋体" w:hAnsi="宋体" w:cs="宋体"/>
          <w:bCs/>
          <w:color w:val="000000"/>
          <w:szCs w:val="21"/>
        </w:rPr>
        <w:t>投标文件名称：</w:t>
      </w:r>
      <w:r>
        <w:rPr>
          <w:rFonts w:hint="eastAsia" w:ascii="宋体" w:hAnsi="宋体" w:cs="宋体"/>
          <w:bCs/>
          <w:color w:val="000000"/>
          <w:szCs w:val="21"/>
          <w:lang w:eastAsia="zh-CN"/>
        </w:rPr>
        <w:t>资格文件、</w:t>
      </w:r>
      <w:r>
        <w:rPr>
          <w:rFonts w:hint="eastAsia" w:ascii="宋体" w:hAnsi="宋体" w:cs="宋体"/>
          <w:bCs/>
          <w:color w:val="000000"/>
          <w:szCs w:val="21"/>
        </w:rPr>
        <w:t>资信商务及技术文件、报价文件</w:t>
      </w:r>
    </w:p>
    <w:p>
      <w:pPr>
        <w:pStyle w:val="7"/>
        <w:snapToGrid w:val="0"/>
        <w:spacing w:line="360" w:lineRule="auto"/>
        <w:ind w:firstLine="873" w:firstLineChars="416"/>
        <w:rPr>
          <w:rFonts w:hint="eastAsia" w:ascii="宋体" w:hAnsi="宋体" w:cs="宋体"/>
          <w:bCs/>
          <w:color w:val="000000"/>
          <w:szCs w:val="21"/>
        </w:rPr>
      </w:pPr>
      <w:r>
        <w:rPr>
          <w:rFonts w:hint="eastAsia" w:ascii="宋体" w:hAnsi="宋体" w:cs="宋体"/>
          <w:bCs/>
          <w:color w:val="000000"/>
          <w:szCs w:val="21"/>
        </w:rPr>
        <w:t>投标人名称：</w:t>
      </w:r>
    </w:p>
    <w:p>
      <w:pPr>
        <w:pStyle w:val="7"/>
        <w:snapToGrid w:val="0"/>
        <w:spacing w:line="360" w:lineRule="auto"/>
        <w:ind w:firstLine="873" w:firstLineChars="416"/>
        <w:rPr>
          <w:rFonts w:hint="eastAsia" w:ascii="宋体" w:hAnsi="宋体" w:cs="宋体"/>
          <w:bCs/>
          <w:color w:val="000000"/>
          <w:szCs w:val="21"/>
        </w:rPr>
      </w:pPr>
      <w:r>
        <w:rPr>
          <w:rFonts w:hint="eastAsia" w:ascii="宋体" w:hAnsi="宋体" w:cs="宋体"/>
          <w:bCs/>
          <w:color w:val="000000"/>
          <w:szCs w:val="21"/>
        </w:rPr>
        <w:t>投标人地址：</w:t>
      </w:r>
    </w:p>
    <w:p>
      <w:pPr>
        <w:pStyle w:val="7"/>
        <w:snapToGrid w:val="0"/>
        <w:spacing w:line="360" w:lineRule="auto"/>
        <w:ind w:firstLine="840" w:firstLineChars="400"/>
        <w:rPr>
          <w:rFonts w:hint="eastAsia" w:ascii="宋体" w:hAnsi="宋体" w:cs="宋体"/>
          <w:bCs/>
          <w:color w:val="000000"/>
          <w:szCs w:val="21"/>
        </w:rPr>
      </w:pPr>
      <w:r>
        <w:rPr>
          <w:rFonts w:hint="eastAsia" w:ascii="宋体" w:hAnsi="宋体" w:cs="宋体"/>
          <w:bCs/>
          <w:color w:val="000000"/>
          <w:szCs w:val="21"/>
        </w:rPr>
        <w:t>在  年  月  日  时  分之前不得启封</w:t>
      </w:r>
    </w:p>
    <w:p>
      <w:pPr>
        <w:snapToGrid w:val="0"/>
        <w:spacing w:line="360" w:lineRule="auto"/>
        <w:ind w:firstLine="3570" w:firstLineChars="1700"/>
        <w:rPr>
          <w:rFonts w:hint="eastAsia" w:ascii="宋体" w:hAnsi="宋体" w:cs="宋体"/>
          <w:bCs/>
          <w:color w:val="000000"/>
          <w:szCs w:val="21"/>
        </w:rPr>
      </w:pPr>
    </w:p>
    <w:p>
      <w:pPr>
        <w:snapToGrid w:val="0"/>
        <w:spacing w:line="360" w:lineRule="auto"/>
        <w:ind w:firstLine="645"/>
        <w:jc w:val="center"/>
        <w:rPr>
          <w:rFonts w:hint="eastAsia" w:ascii="宋体" w:hAnsi="宋体" w:cs="宋体"/>
          <w:bCs/>
          <w:color w:val="000000"/>
          <w:szCs w:val="21"/>
        </w:rPr>
      </w:pPr>
      <w:r>
        <w:rPr>
          <w:rFonts w:hint="eastAsia" w:ascii="宋体" w:hAnsi="宋体" w:cs="宋体"/>
          <w:bCs/>
          <w:color w:val="000000"/>
          <w:szCs w:val="21"/>
        </w:rPr>
        <w:t xml:space="preserve">                        年  月  日</w:t>
      </w:r>
    </w:p>
    <w:p>
      <w:pPr>
        <w:snapToGrid w:val="0"/>
        <w:spacing w:line="360" w:lineRule="auto"/>
        <w:jc w:val="center"/>
        <w:rPr>
          <w:rFonts w:hint="eastAsia" w:ascii="宋体" w:hAnsi="宋体" w:cs="宋体"/>
          <w:b/>
          <w:bCs/>
          <w:color w:val="000000"/>
          <w:szCs w:val="21"/>
        </w:rPr>
      </w:pPr>
      <w:bookmarkStart w:id="36" w:name="_Toc429468094"/>
      <w:bookmarkStart w:id="37" w:name="_Toc497722826"/>
      <w:bookmarkStart w:id="38" w:name="_Toc443665448"/>
      <w:bookmarkStart w:id="39" w:name="_Toc429468196"/>
      <w:bookmarkStart w:id="40" w:name="_Toc443665765"/>
    </w:p>
    <w:p>
      <w:pPr>
        <w:snapToGrid w:val="0"/>
        <w:spacing w:line="360" w:lineRule="auto"/>
        <w:jc w:val="center"/>
        <w:rPr>
          <w:rFonts w:hint="eastAsia" w:ascii="宋体" w:hAnsi="宋体" w:cs="宋体"/>
          <w:b/>
          <w:bCs/>
          <w:color w:val="000000"/>
          <w:szCs w:val="21"/>
        </w:rPr>
      </w:pPr>
    </w:p>
    <w:bookmarkEnd w:id="36"/>
    <w:bookmarkEnd w:id="37"/>
    <w:bookmarkEnd w:id="38"/>
    <w:bookmarkEnd w:id="39"/>
    <w:bookmarkEnd w:id="40"/>
    <w:p>
      <w:pPr>
        <w:snapToGrid w:val="0"/>
        <w:spacing w:line="360" w:lineRule="auto"/>
        <w:rPr>
          <w:rFonts w:hint="eastAsia" w:ascii="宋体" w:hAnsi="宋体" w:cs="宋体"/>
          <w:b/>
          <w:bCs/>
          <w:color w:val="000000"/>
          <w:szCs w:val="21"/>
        </w:rPr>
      </w:pPr>
      <w:r>
        <w:rPr>
          <w:rFonts w:hint="eastAsia" w:ascii="宋体" w:hAnsi="宋体" w:cs="宋体"/>
          <w:b/>
          <w:color w:val="000000"/>
          <w:szCs w:val="21"/>
        </w:rPr>
        <w:t>2、</w:t>
      </w:r>
      <w:r>
        <w:rPr>
          <w:rFonts w:hint="eastAsia" w:ascii="宋体" w:hAnsi="宋体" w:cs="宋体"/>
          <w:b/>
          <w:color w:val="000000"/>
          <w:szCs w:val="21"/>
          <w:lang w:eastAsia="zh-CN"/>
        </w:rPr>
        <w:t>资格</w:t>
      </w:r>
      <w:r>
        <w:rPr>
          <w:rFonts w:hint="eastAsia" w:ascii="宋体" w:hAnsi="宋体" w:cs="宋体"/>
          <w:b/>
          <w:bCs/>
          <w:color w:val="000000"/>
          <w:szCs w:val="21"/>
        </w:rPr>
        <w:t>文件的封面格式：</w:t>
      </w:r>
    </w:p>
    <w:p>
      <w:pPr>
        <w:snapToGrid w:val="0"/>
        <w:spacing w:line="360" w:lineRule="auto"/>
        <w:jc w:val="center"/>
        <w:rPr>
          <w:rFonts w:hint="eastAsia" w:ascii="宋体" w:hAnsi="宋体" w:cs="宋体"/>
          <w:bCs/>
          <w:color w:val="000000"/>
          <w:szCs w:val="21"/>
        </w:rPr>
      </w:pPr>
      <w:r>
        <w:rPr>
          <w:rFonts w:hint="eastAsia" w:ascii="宋体" w:hAnsi="宋体" w:cs="宋体"/>
          <w:color w:val="000000"/>
          <w:szCs w:val="21"/>
        </w:rPr>
        <w:t xml:space="preserve">                                         </w:t>
      </w:r>
      <w:r>
        <w:rPr>
          <w:rFonts w:hint="eastAsia" w:ascii="宋体" w:hAnsi="宋体" w:cs="宋体"/>
          <w:b/>
          <w:bCs/>
          <w:color w:val="000000"/>
          <w:szCs w:val="21"/>
        </w:rPr>
        <w:t>正本/或副本</w:t>
      </w:r>
    </w:p>
    <w:p>
      <w:pPr>
        <w:snapToGrid w:val="0"/>
        <w:spacing w:line="360" w:lineRule="auto"/>
        <w:jc w:val="center"/>
        <w:rPr>
          <w:rFonts w:hint="eastAsia" w:ascii="宋体" w:hAnsi="宋体" w:cs="宋体"/>
          <w:bCs/>
          <w:color w:val="000000"/>
          <w:szCs w:val="21"/>
        </w:rPr>
      </w:pPr>
      <w:r>
        <w:rPr>
          <w:rFonts w:hint="eastAsia" w:ascii="宋体" w:hAnsi="宋体" w:cs="宋体"/>
          <w:bCs/>
          <w:color w:val="000000"/>
          <w:szCs w:val="21"/>
          <w:lang w:eastAsia="zh-CN"/>
        </w:rPr>
        <w:t>资格</w:t>
      </w:r>
      <w:r>
        <w:rPr>
          <w:rFonts w:hint="eastAsia" w:ascii="宋体" w:hAnsi="宋体" w:cs="宋体"/>
          <w:bCs/>
          <w:color w:val="000000"/>
          <w:szCs w:val="21"/>
        </w:rPr>
        <w:t>文件</w:t>
      </w:r>
    </w:p>
    <w:p>
      <w:pPr>
        <w:snapToGrid w:val="0"/>
        <w:spacing w:line="360" w:lineRule="auto"/>
        <w:rPr>
          <w:rFonts w:hint="eastAsia" w:ascii="宋体" w:hAnsi="宋体" w:cs="宋体"/>
          <w:bCs/>
          <w:color w:val="000000"/>
          <w:szCs w:val="21"/>
        </w:rPr>
      </w:pPr>
    </w:p>
    <w:p>
      <w:pPr>
        <w:snapToGrid w:val="0"/>
        <w:spacing w:line="360" w:lineRule="auto"/>
        <w:ind w:firstLine="934" w:firstLineChars="445"/>
        <w:rPr>
          <w:rFonts w:hint="eastAsia" w:ascii="宋体" w:hAnsi="宋体" w:cs="宋体"/>
          <w:bCs/>
          <w:color w:val="000000"/>
          <w:szCs w:val="21"/>
        </w:rPr>
      </w:pPr>
      <w:r>
        <w:rPr>
          <w:rFonts w:hint="eastAsia" w:ascii="宋体" w:hAnsi="宋体" w:cs="宋体"/>
          <w:bCs/>
          <w:color w:val="000000"/>
          <w:szCs w:val="21"/>
        </w:rPr>
        <w:t>项目名称：</w:t>
      </w:r>
    </w:p>
    <w:p>
      <w:pPr>
        <w:snapToGri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 xml:space="preserve">     项目编号：      </w:t>
      </w:r>
    </w:p>
    <w:p>
      <w:pPr>
        <w:pStyle w:val="7"/>
        <w:snapToGrid w:val="0"/>
        <w:spacing w:line="360" w:lineRule="auto"/>
        <w:ind w:firstLine="873" w:firstLineChars="416"/>
        <w:rPr>
          <w:rFonts w:hint="eastAsia" w:ascii="宋体" w:hAnsi="宋体" w:cs="宋体"/>
          <w:bCs/>
          <w:color w:val="000000"/>
          <w:szCs w:val="21"/>
        </w:rPr>
      </w:pPr>
      <w:r>
        <w:rPr>
          <w:rFonts w:hint="eastAsia" w:ascii="宋体" w:hAnsi="宋体" w:cs="宋体"/>
          <w:bCs/>
          <w:color w:val="000000"/>
          <w:szCs w:val="21"/>
        </w:rPr>
        <w:t>投标人名称：</w:t>
      </w:r>
    </w:p>
    <w:p>
      <w:pPr>
        <w:pStyle w:val="7"/>
        <w:snapToGrid w:val="0"/>
        <w:spacing w:line="360" w:lineRule="auto"/>
        <w:ind w:firstLine="873" w:firstLineChars="416"/>
        <w:rPr>
          <w:rFonts w:hint="eastAsia" w:ascii="宋体" w:hAnsi="宋体" w:cs="宋体"/>
          <w:bCs/>
          <w:color w:val="000000"/>
          <w:szCs w:val="21"/>
        </w:rPr>
      </w:pPr>
      <w:r>
        <w:rPr>
          <w:rFonts w:hint="eastAsia" w:ascii="宋体" w:hAnsi="宋体" w:cs="宋体"/>
          <w:bCs/>
          <w:color w:val="000000"/>
          <w:szCs w:val="21"/>
        </w:rPr>
        <w:t>投标人地址：</w:t>
      </w:r>
    </w:p>
    <w:p>
      <w:pPr>
        <w:pStyle w:val="7"/>
        <w:snapToGrid w:val="0"/>
        <w:spacing w:line="360" w:lineRule="auto"/>
        <w:ind w:firstLine="840" w:firstLineChars="400"/>
        <w:rPr>
          <w:rFonts w:hint="eastAsia" w:ascii="宋体" w:hAnsi="宋体" w:cs="宋体"/>
          <w:bCs/>
          <w:color w:val="000000"/>
          <w:szCs w:val="21"/>
        </w:rPr>
      </w:pPr>
      <w:r>
        <w:rPr>
          <w:rFonts w:hint="eastAsia" w:ascii="宋体" w:hAnsi="宋体" w:cs="宋体"/>
          <w:bCs/>
          <w:color w:val="000000"/>
          <w:szCs w:val="21"/>
        </w:rPr>
        <w:t>在  年  月  日  时  分之前不得启封</w:t>
      </w:r>
    </w:p>
    <w:p>
      <w:pPr>
        <w:pStyle w:val="7"/>
        <w:snapToGrid w:val="0"/>
        <w:spacing w:line="360" w:lineRule="auto"/>
        <w:ind w:firstLine="873" w:firstLineChars="416"/>
        <w:rPr>
          <w:rFonts w:hint="eastAsia" w:ascii="宋体" w:hAnsi="宋体" w:cs="宋体"/>
          <w:color w:val="000000"/>
          <w:szCs w:val="21"/>
        </w:rPr>
      </w:pPr>
    </w:p>
    <w:p>
      <w:pPr>
        <w:snapToGrid w:val="0"/>
        <w:spacing w:line="360" w:lineRule="auto"/>
        <w:ind w:firstLine="645"/>
        <w:jc w:val="center"/>
        <w:rPr>
          <w:rFonts w:hint="eastAsia" w:ascii="宋体" w:hAnsi="宋体" w:cs="宋体"/>
          <w:color w:val="000000"/>
          <w:szCs w:val="21"/>
        </w:rPr>
      </w:pPr>
      <w:r>
        <w:rPr>
          <w:rFonts w:hint="eastAsia" w:ascii="宋体" w:hAnsi="宋体" w:cs="宋体"/>
          <w:color w:val="000000"/>
          <w:szCs w:val="21"/>
        </w:rPr>
        <w:t xml:space="preserve">                        年  月  日</w:t>
      </w:r>
    </w:p>
    <w:p>
      <w:pPr>
        <w:snapToGrid w:val="0"/>
        <w:spacing w:line="360" w:lineRule="auto"/>
        <w:rPr>
          <w:rFonts w:hint="eastAsia" w:ascii="宋体" w:hAnsi="宋体" w:cs="宋体"/>
          <w:b/>
          <w:bCs/>
          <w:color w:val="000000"/>
          <w:szCs w:val="21"/>
        </w:rPr>
      </w:pPr>
      <w:r>
        <w:rPr>
          <w:rFonts w:hint="eastAsia" w:ascii="宋体" w:hAnsi="宋体" w:cs="宋体"/>
          <w:b/>
          <w:color w:val="000000"/>
          <w:szCs w:val="21"/>
          <w:lang w:val="en-US" w:eastAsia="zh-CN"/>
        </w:rPr>
        <w:t>3</w:t>
      </w:r>
      <w:r>
        <w:rPr>
          <w:rFonts w:hint="eastAsia" w:ascii="宋体" w:hAnsi="宋体" w:cs="宋体"/>
          <w:b/>
          <w:color w:val="000000"/>
          <w:szCs w:val="21"/>
        </w:rPr>
        <w:t>、资信商务及技术</w:t>
      </w:r>
      <w:r>
        <w:rPr>
          <w:rFonts w:hint="eastAsia" w:ascii="宋体" w:hAnsi="宋体" w:cs="宋体"/>
          <w:b/>
          <w:bCs/>
          <w:color w:val="000000"/>
          <w:szCs w:val="21"/>
        </w:rPr>
        <w:t>文件的封面格式：</w:t>
      </w:r>
    </w:p>
    <w:p>
      <w:pPr>
        <w:snapToGrid w:val="0"/>
        <w:spacing w:line="360" w:lineRule="auto"/>
        <w:jc w:val="center"/>
        <w:rPr>
          <w:rFonts w:hint="eastAsia" w:ascii="宋体" w:hAnsi="宋体" w:cs="宋体"/>
          <w:bCs/>
          <w:color w:val="000000"/>
          <w:szCs w:val="21"/>
        </w:rPr>
      </w:pPr>
      <w:r>
        <w:rPr>
          <w:rFonts w:hint="eastAsia" w:ascii="宋体" w:hAnsi="宋体" w:cs="宋体"/>
          <w:color w:val="000000"/>
          <w:szCs w:val="21"/>
        </w:rPr>
        <w:t xml:space="preserve">                                         </w:t>
      </w:r>
      <w:r>
        <w:rPr>
          <w:rFonts w:hint="eastAsia" w:ascii="宋体" w:hAnsi="宋体" w:cs="宋体"/>
          <w:b/>
          <w:bCs/>
          <w:color w:val="000000"/>
          <w:szCs w:val="21"/>
        </w:rPr>
        <w:t>正本/或副本</w:t>
      </w:r>
    </w:p>
    <w:p>
      <w:pPr>
        <w:snapToGrid w:val="0"/>
        <w:spacing w:line="360" w:lineRule="auto"/>
        <w:jc w:val="center"/>
        <w:rPr>
          <w:rFonts w:hint="eastAsia" w:ascii="宋体" w:hAnsi="宋体" w:cs="宋体"/>
          <w:bCs/>
          <w:color w:val="000000"/>
          <w:szCs w:val="21"/>
        </w:rPr>
      </w:pPr>
      <w:r>
        <w:rPr>
          <w:rFonts w:hint="eastAsia" w:ascii="宋体" w:hAnsi="宋体" w:cs="宋体"/>
          <w:bCs/>
          <w:color w:val="000000"/>
          <w:szCs w:val="21"/>
        </w:rPr>
        <w:t>资信商务及技术文件</w:t>
      </w:r>
    </w:p>
    <w:p>
      <w:pPr>
        <w:snapToGrid w:val="0"/>
        <w:spacing w:line="360" w:lineRule="auto"/>
        <w:rPr>
          <w:rFonts w:hint="eastAsia" w:ascii="宋体" w:hAnsi="宋体" w:cs="宋体"/>
          <w:bCs/>
          <w:color w:val="000000"/>
          <w:szCs w:val="21"/>
        </w:rPr>
      </w:pPr>
    </w:p>
    <w:p>
      <w:pPr>
        <w:snapToGrid w:val="0"/>
        <w:spacing w:line="360" w:lineRule="auto"/>
        <w:ind w:firstLine="934" w:firstLineChars="445"/>
        <w:rPr>
          <w:rFonts w:hint="eastAsia" w:ascii="宋体" w:hAnsi="宋体" w:cs="宋体"/>
          <w:bCs/>
          <w:color w:val="000000"/>
          <w:szCs w:val="21"/>
        </w:rPr>
      </w:pPr>
      <w:r>
        <w:rPr>
          <w:rFonts w:hint="eastAsia" w:ascii="宋体" w:hAnsi="宋体" w:cs="宋体"/>
          <w:bCs/>
          <w:color w:val="000000"/>
          <w:szCs w:val="21"/>
        </w:rPr>
        <w:t>项目名称：</w:t>
      </w:r>
    </w:p>
    <w:p>
      <w:pPr>
        <w:snapToGri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 xml:space="preserve">     项目编号：      </w:t>
      </w:r>
    </w:p>
    <w:p>
      <w:pPr>
        <w:pStyle w:val="7"/>
        <w:snapToGrid w:val="0"/>
        <w:spacing w:line="360" w:lineRule="auto"/>
        <w:ind w:firstLine="873" w:firstLineChars="416"/>
        <w:rPr>
          <w:rFonts w:hint="eastAsia" w:ascii="宋体" w:hAnsi="宋体" w:cs="宋体"/>
          <w:bCs/>
          <w:color w:val="000000"/>
          <w:szCs w:val="21"/>
        </w:rPr>
      </w:pPr>
      <w:r>
        <w:rPr>
          <w:rFonts w:hint="eastAsia" w:ascii="宋体" w:hAnsi="宋体" w:cs="宋体"/>
          <w:bCs/>
          <w:color w:val="000000"/>
          <w:szCs w:val="21"/>
        </w:rPr>
        <w:t>投标人名称：</w:t>
      </w:r>
    </w:p>
    <w:p>
      <w:pPr>
        <w:pStyle w:val="7"/>
        <w:snapToGrid w:val="0"/>
        <w:spacing w:line="360" w:lineRule="auto"/>
        <w:ind w:firstLine="873" w:firstLineChars="416"/>
        <w:rPr>
          <w:rFonts w:hint="eastAsia" w:ascii="宋体" w:hAnsi="宋体" w:cs="宋体"/>
          <w:bCs/>
          <w:color w:val="000000"/>
          <w:szCs w:val="21"/>
        </w:rPr>
      </w:pPr>
      <w:r>
        <w:rPr>
          <w:rFonts w:hint="eastAsia" w:ascii="宋体" w:hAnsi="宋体" w:cs="宋体"/>
          <w:bCs/>
          <w:color w:val="000000"/>
          <w:szCs w:val="21"/>
        </w:rPr>
        <w:t>投标人地址：</w:t>
      </w:r>
    </w:p>
    <w:p>
      <w:pPr>
        <w:pStyle w:val="7"/>
        <w:snapToGrid w:val="0"/>
        <w:spacing w:line="360" w:lineRule="auto"/>
        <w:ind w:firstLine="840" w:firstLineChars="400"/>
        <w:rPr>
          <w:rFonts w:hint="eastAsia" w:ascii="宋体" w:hAnsi="宋体" w:cs="宋体"/>
          <w:bCs/>
          <w:color w:val="000000"/>
          <w:szCs w:val="21"/>
        </w:rPr>
      </w:pPr>
      <w:r>
        <w:rPr>
          <w:rFonts w:hint="eastAsia" w:ascii="宋体" w:hAnsi="宋体" w:cs="宋体"/>
          <w:bCs/>
          <w:color w:val="000000"/>
          <w:szCs w:val="21"/>
        </w:rPr>
        <w:t>在  年  月  日  时  分之前不得启封</w:t>
      </w:r>
    </w:p>
    <w:p>
      <w:pPr>
        <w:pStyle w:val="7"/>
        <w:snapToGrid w:val="0"/>
        <w:spacing w:line="360" w:lineRule="auto"/>
        <w:ind w:firstLine="873" w:firstLineChars="416"/>
        <w:rPr>
          <w:rFonts w:hint="eastAsia" w:ascii="宋体" w:hAnsi="宋体" w:cs="宋体"/>
          <w:color w:val="000000"/>
          <w:szCs w:val="21"/>
        </w:rPr>
      </w:pPr>
    </w:p>
    <w:p>
      <w:pPr>
        <w:snapToGrid w:val="0"/>
        <w:spacing w:line="360" w:lineRule="auto"/>
        <w:ind w:firstLine="645"/>
        <w:jc w:val="center"/>
        <w:rPr>
          <w:rFonts w:hint="eastAsia" w:ascii="宋体" w:hAnsi="宋体" w:cs="宋体"/>
          <w:color w:val="000000"/>
          <w:szCs w:val="21"/>
        </w:rPr>
      </w:pPr>
      <w:r>
        <w:rPr>
          <w:rFonts w:hint="eastAsia" w:ascii="宋体" w:hAnsi="宋体" w:cs="宋体"/>
          <w:color w:val="000000"/>
          <w:szCs w:val="21"/>
        </w:rPr>
        <w:t xml:space="preserve">                        年  月  日</w:t>
      </w:r>
    </w:p>
    <w:p>
      <w:pPr>
        <w:pStyle w:val="7"/>
        <w:snapToGrid w:val="0"/>
        <w:spacing w:line="360" w:lineRule="auto"/>
        <w:ind w:firstLine="873" w:firstLineChars="416"/>
        <w:rPr>
          <w:rFonts w:hint="eastAsia" w:ascii="宋体" w:hAnsi="宋体" w:cs="宋体"/>
          <w:color w:val="000000"/>
          <w:szCs w:val="21"/>
        </w:rPr>
      </w:pPr>
    </w:p>
    <w:p>
      <w:pPr>
        <w:snapToGrid w:val="0"/>
        <w:spacing w:line="360" w:lineRule="auto"/>
        <w:ind w:firstLine="645"/>
        <w:jc w:val="center"/>
        <w:rPr>
          <w:rFonts w:hint="eastAsia" w:ascii="宋体" w:hAnsi="宋体" w:cs="宋体"/>
          <w:color w:val="000000"/>
          <w:szCs w:val="21"/>
        </w:rPr>
      </w:pPr>
      <w:r>
        <w:rPr>
          <w:rFonts w:hint="eastAsia" w:ascii="宋体" w:hAnsi="宋体" w:cs="宋体"/>
          <w:color w:val="000000"/>
          <w:szCs w:val="21"/>
        </w:rPr>
        <w:t xml:space="preserve">                       </w:t>
      </w:r>
    </w:p>
    <w:p>
      <w:pPr>
        <w:snapToGrid w:val="0"/>
        <w:spacing w:line="360" w:lineRule="auto"/>
        <w:rPr>
          <w:rFonts w:hint="eastAsia" w:ascii="宋体" w:hAnsi="宋体" w:cs="宋体"/>
          <w:b/>
          <w:color w:val="000000"/>
          <w:szCs w:val="21"/>
        </w:rPr>
      </w:pPr>
    </w:p>
    <w:p>
      <w:pPr>
        <w:snapToGrid w:val="0"/>
        <w:spacing w:line="360" w:lineRule="auto"/>
        <w:rPr>
          <w:rFonts w:hint="eastAsia" w:ascii="宋体" w:hAnsi="宋体" w:cs="宋体"/>
          <w:b/>
          <w:color w:val="000000"/>
          <w:szCs w:val="21"/>
        </w:rPr>
      </w:pPr>
    </w:p>
    <w:p>
      <w:pPr>
        <w:snapToGrid w:val="0"/>
        <w:spacing w:line="360" w:lineRule="auto"/>
        <w:rPr>
          <w:rFonts w:hint="eastAsia" w:ascii="宋体" w:hAnsi="宋体" w:cs="宋体"/>
          <w:b/>
          <w:color w:val="000000"/>
          <w:szCs w:val="21"/>
        </w:rPr>
      </w:pPr>
      <w:r>
        <w:rPr>
          <w:rFonts w:hint="eastAsia" w:ascii="宋体" w:hAnsi="宋体" w:cs="宋体"/>
          <w:b/>
          <w:color w:val="000000"/>
          <w:szCs w:val="21"/>
          <w:lang w:val="en-US" w:eastAsia="zh-CN"/>
        </w:rPr>
        <w:t>4</w:t>
      </w:r>
      <w:r>
        <w:rPr>
          <w:rFonts w:hint="eastAsia" w:ascii="宋体" w:hAnsi="宋体" w:cs="宋体"/>
          <w:b/>
          <w:color w:val="000000"/>
          <w:szCs w:val="21"/>
        </w:rPr>
        <w:t xml:space="preserve">、报价文件封面格式： </w:t>
      </w:r>
    </w:p>
    <w:p>
      <w:pPr>
        <w:snapToGrid w:val="0"/>
        <w:spacing w:line="360" w:lineRule="auto"/>
        <w:rPr>
          <w:rFonts w:hint="eastAsia" w:ascii="宋体" w:hAnsi="宋体" w:cs="宋体"/>
          <w:b/>
          <w:bCs/>
          <w:color w:val="000000"/>
          <w:szCs w:val="21"/>
        </w:rPr>
      </w:pPr>
      <w:r>
        <w:rPr>
          <w:rFonts w:hint="eastAsia" w:ascii="宋体" w:hAnsi="宋体" w:cs="宋体"/>
          <w:color w:val="000000"/>
          <w:szCs w:val="21"/>
        </w:rPr>
        <w:t xml:space="preserve">                                                     </w:t>
      </w:r>
      <w:r>
        <w:rPr>
          <w:rFonts w:hint="eastAsia" w:ascii="宋体" w:hAnsi="宋体" w:cs="宋体"/>
          <w:b/>
          <w:bCs/>
          <w:color w:val="000000"/>
          <w:szCs w:val="21"/>
        </w:rPr>
        <w:t>正本/或副本</w:t>
      </w:r>
    </w:p>
    <w:p>
      <w:pPr>
        <w:snapToGrid w:val="0"/>
        <w:spacing w:line="360" w:lineRule="auto"/>
        <w:jc w:val="center"/>
        <w:rPr>
          <w:rFonts w:hint="eastAsia" w:ascii="宋体" w:hAnsi="宋体" w:cs="宋体"/>
          <w:bCs/>
          <w:color w:val="000000"/>
          <w:szCs w:val="21"/>
        </w:rPr>
      </w:pPr>
      <w:r>
        <w:rPr>
          <w:rFonts w:hint="eastAsia" w:ascii="宋体" w:hAnsi="宋体" w:cs="宋体"/>
          <w:bCs/>
          <w:color w:val="000000"/>
          <w:szCs w:val="21"/>
        </w:rPr>
        <w:t>报价文件</w:t>
      </w:r>
    </w:p>
    <w:p>
      <w:pPr>
        <w:snapToGrid w:val="0"/>
        <w:spacing w:line="360" w:lineRule="auto"/>
        <w:ind w:firstLine="934" w:firstLineChars="445"/>
        <w:rPr>
          <w:rFonts w:hint="eastAsia" w:ascii="宋体" w:hAnsi="宋体" w:cs="宋体"/>
          <w:bCs/>
          <w:color w:val="000000"/>
          <w:szCs w:val="21"/>
        </w:rPr>
      </w:pPr>
      <w:r>
        <w:rPr>
          <w:rFonts w:hint="eastAsia" w:ascii="宋体" w:hAnsi="宋体" w:cs="宋体"/>
          <w:bCs/>
          <w:color w:val="000000"/>
          <w:szCs w:val="21"/>
        </w:rPr>
        <w:t>项目名称：</w:t>
      </w:r>
    </w:p>
    <w:p>
      <w:pPr>
        <w:snapToGri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 xml:space="preserve">     项目编号：      </w:t>
      </w:r>
    </w:p>
    <w:p>
      <w:pPr>
        <w:pStyle w:val="7"/>
        <w:snapToGrid w:val="0"/>
        <w:spacing w:line="360" w:lineRule="auto"/>
        <w:ind w:firstLine="873" w:firstLineChars="416"/>
        <w:rPr>
          <w:rFonts w:hint="eastAsia" w:ascii="宋体" w:hAnsi="宋体" w:cs="宋体"/>
          <w:bCs/>
          <w:color w:val="000000"/>
          <w:szCs w:val="21"/>
        </w:rPr>
      </w:pPr>
      <w:r>
        <w:rPr>
          <w:rFonts w:hint="eastAsia" w:ascii="宋体" w:hAnsi="宋体" w:cs="宋体"/>
          <w:bCs/>
          <w:color w:val="000000"/>
          <w:szCs w:val="21"/>
        </w:rPr>
        <w:t>投标人名称：</w:t>
      </w:r>
    </w:p>
    <w:p>
      <w:pPr>
        <w:pStyle w:val="7"/>
        <w:snapToGrid w:val="0"/>
        <w:spacing w:line="360" w:lineRule="auto"/>
        <w:ind w:firstLine="873" w:firstLineChars="416"/>
        <w:rPr>
          <w:rFonts w:hint="eastAsia" w:ascii="宋体" w:hAnsi="宋体" w:cs="宋体"/>
          <w:bCs/>
          <w:color w:val="000000"/>
          <w:szCs w:val="21"/>
        </w:rPr>
      </w:pPr>
      <w:r>
        <w:rPr>
          <w:rFonts w:hint="eastAsia" w:ascii="宋体" w:hAnsi="宋体" w:cs="宋体"/>
          <w:bCs/>
          <w:color w:val="000000"/>
          <w:szCs w:val="21"/>
        </w:rPr>
        <w:t>投标人地址：</w:t>
      </w:r>
    </w:p>
    <w:p>
      <w:pPr>
        <w:pStyle w:val="7"/>
        <w:snapToGrid w:val="0"/>
        <w:spacing w:line="360" w:lineRule="auto"/>
        <w:ind w:firstLine="840" w:firstLineChars="400"/>
        <w:rPr>
          <w:rFonts w:hint="eastAsia" w:ascii="宋体" w:hAnsi="宋体" w:cs="宋体"/>
          <w:bCs/>
          <w:color w:val="000000"/>
          <w:szCs w:val="21"/>
        </w:rPr>
      </w:pPr>
      <w:r>
        <w:rPr>
          <w:rFonts w:hint="eastAsia" w:ascii="宋体" w:hAnsi="宋体" w:cs="宋体"/>
          <w:bCs/>
          <w:color w:val="000000"/>
          <w:szCs w:val="21"/>
        </w:rPr>
        <w:t>在  年  月  日  时  分之前不得启封</w:t>
      </w:r>
    </w:p>
    <w:p>
      <w:pPr>
        <w:pStyle w:val="7"/>
        <w:snapToGrid w:val="0"/>
        <w:spacing w:line="360" w:lineRule="auto"/>
        <w:ind w:firstLine="840" w:firstLineChars="400"/>
        <w:rPr>
          <w:rFonts w:hint="eastAsia" w:ascii="宋体" w:hAnsi="宋体" w:cs="宋体"/>
          <w:bCs/>
          <w:color w:val="000000"/>
          <w:szCs w:val="21"/>
        </w:rPr>
      </w:pPr>
    </w:p>
    <w:p>
      <w:pPr>
        <w:snapToGrid w:val="0"/>
        <w:spacing w:line="360" w:lineRule="auto"/>
        <w:ind w:firstLine="3570" w:firstLineChars="1700"/>
        <w:rPr>
          <w:rFonts w:hint="eastAsia" w:ascii="宋体" w:hAnsi="宋体" w:cs="宋体"/>
          <w:color w:val="000000"/>
          <w:szCs w:val="21"/>
        </w:rPr>
      </w:pPr>
    </w:p>
    <w:p>
      <w:pPr>
        <w:snapToGrid w:val="0"/>
        <w:spacing w:line="360" w:lineRule="auto"/>
        <w:ind w:firstLine="645"/>
        <w:jc w:val="center"/>
        <w:rPr>
          <w:rFonts w:hint="eastAsia" w:ascii="宋体" w:hAnsi="宋体" w:cs="宋体"/>
          <w:color w:val="000000"/>
          <w:szCs w:val="21"/>
        </w:rPr>
      </w:pPr>
      <w:r>
        <w:rPr>
          <w:rFonts w:hint="eastAsia" w:ascii="宋体" w:hAnsi="宋体" w:cs="宋体"/>
          <w:color w:val="000000"/>
          <w:szCs w:val="21"/>
        </w:rPr>
        <w:t xml:space="preserve">                        年  月  日</w:t>
      </w:r>
    </w:p>
    <w:p>
      <w:pPr>
        <w:snapToGrid w:val="0"/>
        <w:spacing w:line="360" w:lineRule="auto"/>
        <w:rPr>
          <w:rFonts w:hint="eastAsia" w:ascii="宋体" w:hAnsi="宋体" w:cs="宋体"/>
          <w:szCs w:val="21"/>
        </w:rPr>
      </w:pPr>
    </w:p>
    <w:p>
      <w:pPr>
        <w:snapToGrid w:val="0"/>
        <w:spacing w:line="360" w:lineRule="auto"/>
        <w:rPr>
          <w:rFonts w:hint="eastAsia" w:ascii="宋体" w:hAnsi="宋体" w:cs="宋体"/>
          <w:b/>
          <w:szCs w:val="21"/>
        </w:rPr>
      </w:pPr>
    </w:p>
    <w:p>
      <w:pPr>
        <w:snapToGrid w:val="0"/>
        <w:spacing w:line="360" w:lineRule="auto"/>
        <w:rPr>
          <w:rFonts w:hint="eastAsia" w:ascii="宋体" w:hAnsi="宋体" w:cs="宋体"/>
          <w:b/>
          <w:szCs w:val="21"/>
        </w:rPr>
      </w:pPr>
    </w:p>
    <w:p>
      <w:pPr>
        <w:snapToGrid w:val="0"/>
        <w:spacing w:line="360" w:lineRule="auto"/>
        <w:rPr>
          <w:rFonts w:hint="eastAsia" w:ascii="宋体" w:hAnsi="宋体" w:cs="宋体"/>
          <w:b/>
          <w:szCs w:val="21"/>
        </w:rPr>
      </w:pPr>
    </w:p>
    <w:p>
      <w:pPr>
        <w:snapToGrid w:val="0"/>
        <w:spacing w:line="360" w:lineRule="auto"/>
        <w:rPr>
          <w:rFonts w:hint="eastAsia" w:ascii="宋体" w:hAnsi="宋体" w:cs="宋体"/>
          <w:b/>
          <w:szCs w:val="21"/>
        </w:rPr>
      </w:pPr>
    </w:p>
    <w:p>
      <w:pPr>
        <w:snapToGrid w:val="0"/>
        <w:spacing w:line="360" w:lineRule="auto"/>
        <w:rPr>
          <w:rFonts w:hint="eastAsia" w:ascii="宋体" w:hAnsi="宋体" w:cs="宋体"/>
          <w:szCs w:val="21"/>
        </w:rPr>
      </w:pPr>
      <w:r>
        <w:rPr>
          <w:rFonts w:hint="eastAsia" w:ascii="宋体" w:hAnsi="宋体" w:cs="宋体"/>
          <w:b/>
          <w:szCs w:val="21"/>
        </w:rPr>
        <w:br w:type="page"/>
      </w:r>
      <w:r>
        <w:rPr>
          <w:rFonts w:hint="eastAsia" w:ascii="宋体" w:hAnsi="宋体" w:cs="宋体"/>
          <w:b/>
          <w:szCs w:val="21"/>
          <w:lang w:val="en-US" w:eastAsia="zh-CN"/>
        </w:rPr>
        <w:t>5</w:t>
      </w:r>
      <w:r>
        <w:rPr>
          <w:rFonts w:hint="eastAsia" w:ascii="宋体" w:hAnsi="宋体" w:cs="宋体"/>
          <w:b/>
          <w:szCs w:val="21"/>
        </w:rPr>
        <w:t>、资信商务及技术文件、投标报价文件目录</w:t>
      </w:r>
      <w:r>
        <w:rPr>
          <w:rFonts w:hint="eastAsia" w:ascii="宋体" w:hAnsi="宋体" w:cs="宋体"/>
          <w:b/>
          <w:bCs/>
          <w:szCs w:val="21"/>
        </w:rPr>
        <w:t>（请按照“第三章投标人须知，三、投标文件的编制”的顺序自行编制目录）</w:t>
      </w:r>
    </w:p>
    <w:p>
      <w:pPr>
        <w:snapToGrid w:val="0"/>
        <w:spacing w:line="360" w:lineRule="auto"/>
        <w:rPr>
          <w:rFonts w:hint="eastAsia" w:ascii="宋体" w:hAnsi="宋体" w:cs="宋体"/>
          <w:b/>
          <w:bCs/>
          <w:szCs w:val="21"/>
        </w:rPr>
      </w:pPr>
      <w:r>
        <w:rPr>
          <w:rFonts w:hint="eastAsia" w:ascii="宋体" w:hAnsi="宋体" w:cs="宋体"/>
          <w:b/>
          <w:bCs/>
          <w:szCs w:val="21"/>
        </w:rPr>
        <w:t>例如：</w:t>
      </w:r>
    </w:p>
    <w:p>
      <w:pPr>
        <w:snapToGrid w:val="0"/>
        <w:spacing w:line="360" w:lineRule="auto"/>
        <w:rPr>
          <w:rFonts w:hint="eastAsia" w:ascii="宋体" w:hAnsi="宋体" w:cs="宋体"/>
          <w:szCs w:val="21"/>
        </w:rPr>
      </w:pPr>
      <w:r>
        <w:rPr>
          <w:rFonts w:hint="eastAsia" w:ascii="宋体" w:hAnsi="宋体" w:cs="宋体"/>
          <w:b/>
          <w:bCs/>
          <w:szCs w:val="21"/>
        </w:rPr>
        <w:t>资信商务文件：</w:t>
      </w:r>
    </w:p>
    <w:p>
      <w:pPr>
        <w:snapToGrid w:val="0"/>
        <w:spacing w:line="360" w:lineRule="auto"/>
        <w:jc w:val="left"/>
        <w:rPr>
          <w:rFonts w:hint="eastAsia" w:ascii="宋体" w:hAnsi="宋体" w:cs="宋体"/>
          <w:szCs w:val="21"/>
        </w:rPr>
      </w:pPr>
      <w:r>
        <w:rPr>
          <w:rFonts w:hint="eastAsia" w:ascii="宋体" w:hAnsi="宋体" w:cs="宋体"/>
          <w:szCs w:val="21"/>
        </w:rPr>
        <w:t>（1）投标声明书 (格式见附件) ——————————————</w:t>
      </w:r>
    </w:p>
    <w:p>
      <w:pPr>
        <w:snapToGrid w:val="0"/>
        <w:spacing w:line="360" w:lineRule="auto"/>
        <w:jc w:val="left"/>
        <w:rPr>
          <w:rFonts w:hint="eastAsia" w:ascii="宋体" w:hAnsi="宋体" w:cs="宋体"/>
          <w:szCs w:val="21"/>
        </w:rPr>
        <w:sectPr>
          <w:footerReference r:id="rId14" w:type="default"/>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szCs w:val="21"/>
        </w:rPr>
        <w:t>（2）法定代表人授权委托书(格式见附件) ——————————</w:t>
      </w:r>
    </w:p>
    <w:p>
      <w:pPr>
        <w:snapToGrid w:val="0"/>
        <w:spacing w:line="360" w:lineRule="auto"/>
        <w:jc w:val="left"/>
        <w:rPr>
          <w:rFonts w:hint="eastAsia" w:ascii="宋体" w:hAnsi="宋体" w:cs="宋体"/>
          <w:b/>
          <w:szCs w:val="21"/>
        </w:rPr>
      </w:pPr>
      <w:r>
        <w:rPr>
          <w:rFonts w:hint="eastAsia" w:ascii="宋体" w:hAnsi="宋体" w:cs="宋体"/>
          <w:b/>
          <w:szCs w:val="21"/>
          <w:lang w:val="en-US" w:eastAsia="zh-CN"/>
        </w:rPr>
        <w:t>6</w:t>
      </w:r>
      <w:r>
        <w:rPr>
          <w:rFonts w:hint="eastAsia" w:ascii="宋体" w:hAnsi="宋体" w:cs="宋体"/>
          <w:b/>
          <w:szCs w:val="21"/>
        </w:rPr>
        <w:t>、投标声明书格式：</w:t>
      </w:r>
    </w:p>
    <w:p>
      <w:pPr>
        <w:snapToGrid w:val="0"/>
        <w:spacing w:line="360" w:lineRule="auto"/>
        <w:jc w:val="center"/>
        <w:rPr>
          <w:rFonts w:hint="eastAsia" w:ascii="宋体" w:hAnsi="宋体" w:cs="宋体"/>
          <w:szCs w:val="21"/>
        </w:rPr>
      </w:pPr>
      <w:r>
        <w:rPr>
          <w:rFonts w:hint="eastAsia" w:ascii="宋体" w:hAnsi="宋体" w:cs="宋体"/>
          <w:szCs w:val="21"/>
        </w:rPr>
        <w:t>投标声明书</w:t>
      </w:r>
    </w:p>
    <w:p>
      <w:pPr>
        <w:snapToGrid w:val="0"/>
        <w:spacing w:line="360" w:lineRule="auto"/>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（招标采购单位名称）：</w:t>
      </w:r>
    </w:p>
    <w:p>
      <w:pPr>
        <w:snapToGrid w:val="0"/>
        <w:spacing w:line="360" w:lineRule="auto"/>
        <w:ind w:firstLine="630" w:firstLineChars="30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（投标人名称）系中华人民共和国合法企业，经营地址</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645"/>
        <w:rPr>
          <w:rFonts w:hint="eastAsia"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（投标人名称）的法定代表人，我方愿意参加贵方组织的</w:t>
      </w:r>
      <w:r>
        <w:rPr>
          <w:rFonts w:hint="eastAsia" w:ascii="宋体" w:hAnsi="宋体" w:cs="宋体"/>
          <w:szCs w:val="21"/>
          <w:u w:val="single"/>
        </w:rPr>
        <w:t xml:space="preserve">                        </w:t>
      </w:r>
      <w:r>
        <w:rPr>
          <w:rFonts w:hint="eastAsia" w:ascii="宋体" w:hAnsi="宋体" w:cs="宋体"/>
          <w:szCs w:val="21"/>
        </w:rPr>
        <w:t>项目的投标，为便于贵方公正、择优地确定中标人及其投标产品和服务，我方就本次投标有关事项郑重声明如下：</w:t>
      </w:r>
    </w:p>
    <w:p>
      <w:pPr>
        <w:snapToGrid w:val="0"/>
        <w:spacing w:line="360" w:lineRule="auto"/>
        <w:ind w:firstLine="420" w:firstLineChars="200"/>
        <w:rPr>
          <w:rFonts w:hint="eastAsia" w:ascii="宋体" w:hAnsi="宋体" w:cs="宋体"/>
          <w:szCs w:val="21"/>
        </w:rPr>
      </w:pPr>
      <w:r>
        <w:rPr>
          <w:rFonts w:hint="eastAsia" w:ascii="宋体" w:hAnsi="宋体" w:cs="宋体"/>
          <w:szCs w:val="21"/>
        </w:rPr>
        <w:t>1.我方向贵方提交的所有投标文件、资料都是准确的和真实的。</w:t>
      </w:r>
    </w:p>
    <w:p>
      <w:pPr>
        <w:snapToGrid w:val="0"/>
        <w:spacing w:line="360" w:lineRule="auto"/>
        <w:ind w:firstLine="420" w:firstLineChars="200"/>
        <w:rPr>
          <w:rFonts w:hint="eastAsia" w:ascii="宋体" w:hAnsi="宋体" w:cs="宋体"/>
          <w:szCs w:val="21"/>
        </w:rPr>
      </w:pPr>
      <w:r>
        <w:rPr>
          <w:rFonts w:hint="eastAsia" w:ascii="宋体" w:hAnsi="宋体" w:cs="宋体"/>
          <w:szCs w:val="21"/>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hint="eastAsia" w:ascii="宋体" w:hAnsi="宋体" w:cs="宋体"/>
          <w:szCs w:val="21"/>
        </w:rPr>
      </w:pPr>
      <w:r>
        <w:rPr>
          <w:rFonts w:hint="eastAsia" w:ascii="宋体" w:hAnsi="宋体" w:cs="宋体"/>
          <w:spacing w:val="15"/>
          <w:kern w:val="0"/>
          <w:szCs w:val="21"/>
        </w:rPr>
        <w:t>3.我方此次向贵方提供的服务名称为</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rPr>
          <w:rFonts w:hint="eastAsia" w:ascii="宋体" w:hAnsi="宋体" w:cs="宋体"/>
          <w:szCs w:val="21"/>
        </w:rPr>
      </w:pPr>
      <w:r>
        <w:rPr>
          <w:rFonts w:hint="eastAsia" w:ascii="宋体" w:hAnsi="宋体" w:cs="宋体"/>
          <w:szCs w:val="21"/>
        </w:rPr>
        <w:t>4.我方诚意提请贵方关注：近期有关该项目的售后服务等方面的重大决策和事项有：</w:t>
      </w:r>
    </w:p>
    <w:p>
      <w:pPr>
        <w:snapToGrid w:val="0"/>
        <w:spacing w:line="360" w:lineRule="auto"/>
        <w:ind w:firstLine="420" w:firstLineChars="200"/>
        <w:rPr>
          <w:rFonts w:hint="eastAsia" w:ascii="宋体" w:hAnsi="宋体" w:cs="宋体"/>
          <w:szCs w:val="21"/>
          <w:u w:val="single"/>
        </w:rPr>
      </w:pPr>
      <w:r>
        <w:rPr>
          <w:rFonts w:hint="eastAsia" w:ascii="宋体" w:hAnsi="宋体" w:cs="宋体"/>
          <w:szCs w:val="21"/>
          <w:u w:val="single"/>
        </w:rPr>
        <w:t>　　　　　　　　　　　　　　　　　　　　　　　</w:t>
      </w:r>
    </w:p>
    <w:p>
      <w:pPr>
        <w:pStyle w:val="14"/>
        <w:snapToGrid w:val="0"/>
        <w:spacing w:line="360" w:lineRule="auto"/>
        <w:ind w:firstLine="420" w:firstLineChars="200"/>
        <w:rPr>
          <w:rFonts w:hint="eastAsia" w:hAnsi="宋体" w:cs="宋体"/>
          <w:sz w:val="21"/>
          <w:szCs w:val="21"/>
        </w:rPr>
      </w:pPr>
      <w:r>
        <w:rPr>
          <w:rFonts w:hint="eastAsia" w:hAnsi="宋体" w:cs="宋体"/>
          <w:sz w:val="21"/>
          <w:szCs w:val="21"/>
        </w:rPr>
        <w:t>5.我方及由本人担任法定代表人的其他机构最近三年内被通报或者被处罚的违法行为有：</w:t>
      </w:r>
    </w:p>
    <w:p>
      <w:pPr>
        <w:snapToGrid w:val="0"/>
        <w:spacing w:line="360" w:lineRule="auto"/>
        <w:ind w:firstLine="420" w:firstLineChars="200"/>
        <w:rPr>
          <w:rFonts w:hint="eastAsia" w:ascii="宋体" w:hAnsi="宋体" w:cs="宋体"/>
          <w:szCs w:val="21"/>
          <w:u w:val="single"/>
        </w:rPr>
      </w:pPr>
      <w:r>
        <w:rPr>
          <w:rFonts w:hint="eastAsia" w:ascii="宋体" w:hAnsi="宋体" w:cs="宋体"/>
          <w:szCs w:val="21"/>
          <w:u w:val="single"/>
        </w:rPr>
        <w:t>　　　　　　　　　　　　　　　　　　　　　　</w:t>
      </w:r>
    </w:p>
    <w:p>
      <w:pPr>
        <w:snapToGrid w:val="0"/>
        <w:spacing w:line="360" w:lineRule="auto"/>
        <w:ind w:firstLine="420" w:firstLineChars="200"/>
        <w:rPr>
          <w:rFonts w:hint="eastAsia" w:ascii="宋体" w:hAnsi="宋体" w:cs="宋体"/>
          <w:szCs w:val="21"/>
        </w:rPr>
      </w:pPr>
      <w:r>
        <w:rPr>
          <w:rFonts w:hint="eastAsia" w:ascii="宋体" w:hAnsi="宋体" w:cs="宋体"/>
          <w:szCs w:val="21"/>
        </w:rPr>
        <w:t>6.以上事项如有虚假或隐瞒，我方愿意承担一切后果，并不再寻求任何旨在减轻或免除法律责任的辩解。</w:t>
      </w:r>
    </w:p>
    <w:p>
      <w:pPr>
        <w:pStyle w:val="101"/>
        <w:snapToGrid w:val="0"/>
        <w:spacing w:line="360" w:lineRule="auto"/>
        <w:ind w:firstLine="200"/>
        <w:rPr>
          <w:rFonts w:hint="eastAsia" w:ascii="宋体" w:hAnsi="宋体" w:cs="宋体"/>
          <w:sz w:val="21"/>
          <w:szCs w:val="21"/>
        </w:rPr>
      </w:pPr>
    </w:p>
    <w:p>
      <w:pPr>
        <w:snapToGrid w:val="0"/>
        <w:spacing w:line="360" w:lineRule="auto"/>
        <w:ind w:firstLine="200"/>
        <w:rPr>
          <w:rFonts w:hint="eastAsia" w:ascii="宋体" w:hAnsi="宋体" w:cs="宋体"/>
          <w:szCs w:val="21"/>
          <w:u w:val="single"/>
        </w:rPr>
      </w:pPr>
      <w:r>
        <w:rPr>
          <w:rFonts w:hint="eastAsia" w:ascii="宋体" w:hAnsi="宋体" w:cs="宋体"/>
          <w:szCs w:val="21"/>
        </w:rPr>
        <w:t>法定代表人签字（或盖章）：</w:t>
      </w:r>
      <w:r>
        <w:rPr>
          <w:rFonts w:hint="eastAsia" w:ascii="宋体" w:hAnsi="宋体" w:cs="宋体"/>
          <w:szCs w:val="21"/>
          <w:u w:val="single"/>
        </w:rPr>
        <w:t xml:space="preserve">             </w:t>
      </w:r>
    </w:p>
    <w:p>
      <w:pPr>
        <w:snapToGrid w:val="0"/>
        <w:spacing w:line="360" w:lineRule="auto"/>
        <w:ind w:firstLine="210" w:firstLineChars="100"/>
        <w:rPr>
          <w:rFonts w:hint="eastAsia" w:ascii="宋体" w:hAnsi="宋体" w:cs="宋体"/>
          <w:szCs w:val="21"/>
        </w:rPr>
      </w:pPr>
      <w:r>
        <w:rPr>
          <w:rFonts w:hint="eastAsia" w:ascii="宋体" w:hAnsi="宋体" w:cs="宋体"/>
          <w:szCs w:val="21"/>
        </w:rPr>
        <w:t>投标人公章：</w:t>
      </w:r>
      <w:r>
        <w:rPr>
          <w:rFonts w:hint="eastAsia" w:ascii="宋体" w:hAnsi="宋体" w:cs="宋体"/>
          <w:szCs w:val="21"/>
          <w:u w:val="single"/>
        </w:rPr>
        <w:t xml:space="preserve">               </w:t>
      </w:r>
      <w:r>
        <w:rPr>
          <w:rFonts w:hint="eastAsia" w:ascii="宋体" w:hAnsi="宋体" w:cs="宋体"/>
          <w:szCs w:val="21"/>
        </w:rPr>
        <w:t xml:space="preserve">                      年    月    日</w:t>
      </w:r>
    </w:p>
    <w:p>
      <w:pPr>
        <w:snapToGrid w:val="0"/>
        <w:spacing w:line="360" w:lineRule="auto"/>
        <w:ind w:firstLine="4200" w:firstLineChars="2000"/>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b/>
          <w:szCs w:val="21"/>
        </w:rPr>
      </w:pPr>
      <w:r>
        <w:rPr>
          <w:rFonts w:hint="eastAsia" w:ascii="宋体" w:hAnsi="宋体" w:cs="宋体"/>
          <w:b/>
          <w:szCs w:val="21"/>
        </w:rPr>
        <w:br w:type="page"/>
      </w:r>
      <w:r>
        <w:rPr>
          <w:rFonts w:hint="eastAsia" w:ascii="宋体" w:hAnsi="宋体" w:cs="宋体"/>
          <w:b/>
          <w:szCs w:val="21"/>
          <w:lang w:val="en-US" w:eastAsia="zh-CN"/>
        </w:rPr>
        <w:t>7</w:t>
      </w:r>
      <w:r>
        <w:rPr>
          <w:rFonts w:hint="eastAsia" w:ascii="宋体" w:hAnsi="宋体" w:cs="宋体"/>
          <w:b/>
          <w:szCs w:val="21"/>
        </w:rPr>
        <w:t>、法定代表人授权委托书格式：</w:t>
      </w:r>
    </w:p>
    <w:p>
      <w:pPr>
        <w:snapToGrid w:val="0"/>
        <w:spacing w:line="360" w:lineRule="auto"/>
        <w:jc w:val="center"/>
        <w:rPr>
          <w:rFonts w:hint="eastAsia" w:ascii="宋体" w:hAnsi="宋体" w:cs="宋体"/>
          <w:szCs w:val="21"/>
        </w:rPr>
      </w:pPr>
    </w:p>
    <w:p>
      <w:pPr>
        <w:snapToGrid w:val="0"/>
        <w:spacing w:line="360" w:lineRule="auto"/>
        <w:jc w:val="center"/>
        <w:rPr>
          <w:rFonts w:hint="eastAsia" w:ascii="宋体" w:hAnsi="宋体" w:cs="宋体"/>
          <w:b/>
          <w:szCs w:val="21"/>
        </w:rPr>
      </w:pPr>
      <w:r>
        <w:rPr>
          <w:rFonts w:hint="eastAsia" w:ascii="宋体" w:hAnsi="宋体" w:cs="宋体"/>
          <w:b/>
          <w:szCs w:val="21"/>
        </w:rPr>
        <w:t>法定代表人授权委托书</w:t>
      </w:r>
    </w:p>
    <w:p>
      <w:pPr>
        <w:snapToGrid w:val="0"/>
        <w:spacing w:line="360" w:lineRule="auto"/>
        <w:rPr>
          <w:rFonts w:hint="eastAsia" w:ascii="宋体" w:hAnsi="宋体" w:cs="宋体"/>
          <w:b/>
          <w:bCs/>
          <w:szCs w:val="21"/>
        </w:rPr>
      </w:pPr>
      <w:r>
        <w:rPr>
          <w:rFonts w:hint="eastAsia" w:ascii="宋体" w:hAnsi="宋体" w:cs="宋体"/>
          <w:bCs/>
          <w:szCs w:val="21"/>
        </w:rPr>
        <w:t>致：</w:t>
      </w:r>
      <w:r>
        <w:rPr>
          <w:rFonts w:hint="eastAsia" w:ascii="宋体" w:hAnsi="宋体" w:cs="宋体"/>
          <w:szCs w:val="21"/>
          <w:u w:val="single"/>
        </w:rPr>
        <w:t xml:space="preserve">             </w:t>
      </w:r>
      <w:r>
        <w:rPr>
          <w:rFonts w:hint="eastAsia" w:ascii="宋体" w:hAnsi="宋体" w:cs="宋体"/>
          <w:szCs w:val="21"/>
        </w:rPr>
        <w:t>（招标采购单位名称）</w:t>
      </w:r>
      <w:r>
        <w:rPr>
          <w:rFonts w:hint="eastAsia" w:ascii="宋体" w:hAnsi="宋体" w:cs="宋体"/>
          <w:b/>
          <w:bCs/>
          <w:szCs w:val="21"/>
        </w:rPr>
        <w:t xml:space="preserve"> </w:t>
      </w:r>
      <w:r>
        <w:rPr>
          <w:rFonts w:hint="eastAsia" w:ascii="宋体" w:hAnsi="宋体" w:cs="宋体"/>
          <w:szCs w:val="21"/>
        </w:rPr>
        <w:t>：</w:t>
      </w:r>
    </w:p>
    <w:p>
      <w:pPr>
        <w:snapToGrid w:val="0"/>
        <w:spacing w:line="360" w:lineRule="auto"/>
        <w:ind w:firstLine="630" w:firstLineChars="300"/>
        <w:rPr>
          <w:rFonts w:hint="eastAsia"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 xml:space="preserve">（投标人名称）的法定代表人，现授权委托本单位在职职工 </w:t>
      </w:r>
      <w:r>
        <w:rPr>
          <w:rFonts w:hint="eastAsia" w:ascii="宋体" w:hAnsi="宋体" w:cs="宋体"/>
          <w:szCs w:val="21"/>
          <w:u w:val="single"/>
        </w:rPr>
        <w:t xml:space="preserve">                    </w:t>
      </w:r>
      <w:r>
        <w:rPr>
          <w:rFonts w:hint="eastAsia" w:ascii="宋体" w:hAnsi="宋体" w:cs="宋体"/>
          <w:szCs w:val="21"/>
        </w:rPr>
        <w:t>（姓名）以我方的名义参加</w:t>
      </w:r>
      <w:r>
        <w:rPr>
          <w:rFonts w:hint="eastAsia" w:ascii="宋体" w:hAnsi="宋体" w:cs="宋体"/>
          <w:szCs w:val="21"/>
          <w:u w:val="single"/>
        </w:rPr>
        <w:t xml:space="preserve">                      </w:t>
      </w:r>
      <w:r>
        <w:rPr>
          <w:rFonts w:hint="eastAsia" w:ascii="宋体" w:hAnsi="宋体" w:cs="宋体"/>
          <w:szCs w:val="21"/>
        </w:rPr>
        <w:t>项目的投标活动，并代表我方全权办理针对上述项目的投标、开标、评标、签约等具体事务和签署相关文件。</w:t>
      </w:r>
    </w:p>
    <w:p>
      <w:pPr>
        <w:snapToGrid w:val="0"/>
        <w:spacing w:line="360" w:lineRule="auto"/>
        <w:rPr>
          <w:rFonts w:hint="eastAsia" w:ascii="宋体" w:hAnsi="宋体" w:cs="宋体"/>
          <w:szCs w:val="21"/>
        </w:rPr>
      </w:pPr>
      <w:r>
        <w:rPr>
          <w:rFonts w:hint="eastAsia" w:ascii="宋体" w:hAnsi="宋体" w:cs="宋体"/>
          <w:szCs w:val="21"/>
        </w:rPr>
        <w:t xml:space="preserve">    我方对被授权人的签名事项负全部责任。</w:t>
      </w:r>
    </w:p>
    <w:p>
      <w:pPr>
        <w:snapToGrid w:val="0"/>
        <w:spacing w:line="360" w:lineRule="auto"/>
        <w:ind w:firstLine="480"/>
        <w:rPr>
          <w:rFonts w:hint="eastAsia" w:ascii="宋体" w:hAnsi="宋体" w:cs="宋体"/>
          <w:szCs w:val="21"/>
        </w:rPr>
      </w:pPr>
      <w:r>
        <w:rPr>
          <w:rFonts w:hint="eastAsia" w:ascii="宋体" w:hAnsi="宋体" w:cs="宋体"/>
          <w:szCs w:val="21"/>
          <w:u w:val="single"/>
        </w:rPr>
        <w:t>在撤销授权的书面通知以前，本授权书一直有效。</w:t>
      </w:r>
      <w:r>
        <w:rPr>
          <w:rFonts w:hint="eastAsia" w:ascii="宋体" w:hAnsi="宋体" w:cs="宋体"/>
          <w:szCs w:val="21"/>
        </w:rPr>
        <w:t>被授权人在授权书有效期内签署的所有文件不因授权的撤销而失效。</w:t>
      </w:r>
    </w:p>
    <w:p>
      <w:pPr>
        <w:snapToGrid w:val="0"/>
        <w:spacing w:line="360" w:lineRule="auto"/>
        <w:ind w:firstLine="480"/>
        <w:rPr>
          <w:rFonts w:hint="eastAsia" w:ascii="宋体" w:hAnsi="宋体" w:cs="宋体"/>
          <w:szCs w:val="21"/>
        </w:rPr>
      </w:pPr>
      <w:r>
        <w:rPr>
          <w:rFonts w:hint="eastAsia" w:ascii="宋体" w:hAnsi="宋体" w:cs="宋体"/>
          <w:szCs w:val="21"/>
        </w:rPr>
        <w:t>被授权人无转委托权，特此委托。</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u w:val="single"/>
        </w:rPr>
      </w:pPr>
      <w:r>
        <w:rPr>
          <w:rFonts w:hint="eastAsia" w:ascii="宋体" w:hAnsi="宋体" w:cs="宋体"/>
          <w:szCs w:val="21"/>
        </w:rPr>
        <w:t>被授权人签名：</w:t>
      </w:r>
      <w:r>
        <w:rPr>
          <w:rFonts w:hint="eastAsia" w:ascii="宋体" w:hAnsi="宋体" w:cs="宋体"/>
          <w:szCs w:val="21"/>
          <w:u w:val="single"/>
        </w:rPr>
        <w:t xml:space="preserve">          </w:t>
      </w:r>
      <w:r>
        <w:rPr>
          <w:rFonts w:hint="eastAsia" w:ascii="宋体" w:hAnsi="宋体" w:cs="宋体"/>
          <w:szCs w:val="21"/>
        </w:rPr>
        <w:t xml:space="preserve">                 法定代表人签名（或盖章）：</w:t>
      </w:r>
      <w:r>
        <w:rPr>
          <w:rFonts w:hint="eastAsia" w:ascii="宋体" w:hAnsi="宋体" w:cs="宋体"/>
          <w:szCs w:val="21"/>
          <w:u w:val="single"/>
        </w:rPr>
        <w:t xml:space="preserve">          </w:t>
      </w:r>
    </w:p>
    <w:p>
      <w:pPr>
        <w:snapToGrid w:val="0"/>
        <w:spacing w:line="360" w:lineRule="auto"/>
        <w:ind w:firstLine="840" w:firstLineChars="400"/>
        <w:rPr>
          <w:rFonts w:hint="eastAsia"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napToGrid w:val="0"/>
        <w:spacing w:line="360" w:lineRule="auto"/>
        <w:rPr>
          <w:rFonts w:hint="eastAsia" w:ascii="宋体" w:hAnsi="宋体" w:cs="宋体"/>
          <w:szCs w:val="21"/>
        </w:rPr>
      </w:pPr>
      <w:r>
        <w:rPr>
          <w:rFonts w:hint="eastAsia" w:ascii="宋体" w:hAnsi="宋体" w:cs="宋体"/>
          <w:szCs w:val="21"/>
        </w:rPr>
        <w:t>被授权人身份证号码：</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rPr>
          <w:rFonts w:hint="eastAsia" w:ascii="宋体" w:hAnsi="宋体" w:cs="宋体"/>
          <w:szCs w:val="21"/>
        </w:rPr>
      </w:pPr>
      <w:r>
        <w:rPr>
          <w:rFonts w:hint="eastAsia" w:ascii="宋体" w:hAnsi="宋体" w:cs="宋体"/>
          <w:szCs w:val="21"/>
        </w:rPr>
        <w:t xml:space="preserve">                                   </w:t>
      </w:r>
    </w:p>
    <w:p>
      <w:pPr>
        <w:snapToGrid w:val="0"/>
        <w:spacing w:line="360" w:lineRule="auto"/>
        <w:ind w:firstLine="4830" w:firstLineChars="2300"/>
        <w:rPr>
          <w:rFonts w:hint="eastAsia" w:ascii="宋体" w:hAnsi="宋体" w:cs="宋体"/>
          <w:szCs w:val="21"/>
        </w:rPr>
      </w:pPr>
      <w:r>
        <w:rPr>
          <w:rFonts w:hint="eastAsia" w:ascii="宋体" w:hAnsi="宋体" w:cs="宋体"/>
          <w:szCs w:val="21"/>
        </w:rPr>
        <w:t xml:space="preserve">  投标人公章：</w:t>
      </w:r>
    </w:p>
    <w:p>
      <w:pPr>
        <w:snapToGrid w:val="0"/>
        <w:spacing w:line="360" w:lineRule="auto"/>
        <w:jc w:val="center"/>
        <w:rPr>
          <w:rFonts w:hint="eastAsia" w:ascii="宋体" w:hAnsi="宋体" w:cs="宋体"/>
          <w:szCs w:val="21"/>
        </w:rPr>
      </w:pPr>
      <w:r>
        <w:rPr>
          <w:rFonts w:hint="eastAsia" w:ascii="宋体" w:hAnsi="宋体" w:cs="宋体"/>
          <w:szCs w:val="21"/>
        </w:rPr>
        <w:t xml:space="preserve">                                        年    月    日</w:t>
      </w:r>
    </w:p>
    <w:p>
      <w:pPr>
        <w:snapToGrid w:val="0"/>
        <w:spacing w:line="360" w:lineRule="auto"/>
        <w:ind w:firstLine="3150" w:firstLineChars="1500"/>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szCs w:val="21"/>
        </w:rPr>
        <w:t>法定代表人身份证复印件粘贴处（正反面）  被授权人身份证复印件粘贴处（正反面）</w:t>
      </w:r>
    </w:p>
    <w:p>
      <w:pPr>
        <w:snapToGrid w:val="0"/>
        <w:spacing w:line="360" w:lineRule="auto"/>
        <w:jc w:val="left"/>
        <w:rPr>
          <w:rFonts w:hint="eastAsia" w:ascii="宋体" w:hAnsi="宋体" w:cs="宋体"/>
          <w:szCs w:val="21"/>
        </w:rPr>
        <w:sectPr>
          <w:footerReference r:id="rId15" w:type="default"/>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snapToGrid w:val="0"/>
        <w:spacing w:line="360" w:lineRule="auto"/>
        <w:jc w:val="left"/>
        <w:rPr>
          <w:rFonts w:hint="eastAsia" w:ascii="宋体" w:hAnsi="宋体" w:cs="宋体"/>
          <w:b/>
          <w:szCs w:val="21"/>
        </w:rPr>
      </w:pPr>
      <w:r>
        <w:rPr>
          <w:rFonts w:hint="eastAsia" w:ascii="宋体" w:hAnsi="宋体" w:cs="宋体"/>
          <w:b/>
          <w:szCs w:val="21"/>
          <w:lang w:val="en-US" w:eastAsia="zh-CN"/>
        </w:rPr>
        <w:t>8</w:t>
      </w:r>
      <w:r>
        <w:rPr>
          <w:rFonts w:hint="eastAsia" w:ascii="宋体" w:hAnsi="宋体" w:cs="宋体"/>
          <w:b/>
          <w:szCs w:val="21"/>
        </w:rPr>
        <w:t>、投标人的类似成功案例的业绩证明文件：</w:t>
      </w:r>
    </w:p>
    <w:p>
      <w:pPr>
        <w:pStyle w:val="22"/>
        <w:snapToGrid w:val="0"/>
        <w:spacing w:line="360" w:lineRule="auto"/>
        <w:ind w:left="420" w:hanging="420"/>
        <w:rPr>
          <w:rFonts w:hint="eastAsia" w:ascii="宋体" w:hAnsi="宋体" w:cs="宋体"/>
          <w:szCs w:val="21"/>
        </w:rPr>
      </w:pPr>
      <w:r>
        <w:rPr>
          <w:rFonts w:hint="eastAsia" w:ascii="宋体" w:hAnsi="宋体" w:cs="宋体"/>
          <w:szCs w:val="21"/>
        </w:rPr>
        <w:t>投标人同类项目实施情况一览表格式：</w:t>
      </w:r>
    </w:p>
    <w:tbl>
      <w:tblPr>
        <w:tblStyle w:val="27"/>
        <w:tblW w:w="1428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517"/>
        <w:gridCol w:w="3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采购</w:t>
            </w:r>
          </w:p>
          <w:p>
            <w:pPr>
              <w:snapToGrid w:val="0"/>
              <w:spacing w:line="360" w:lineRule="auto"/>
              <w:jc w:val="center"/>
              <w:rPr>
                <w:rFonts w:hint="eastAsia" w:ascii="宋体" w:hAnsi="宋体" w:cs="宋体"/>
                <w:szCs w:val="21"/>
              </w:rPr>
            </w:pPr>
            <w:r>
              <w:rPr>
                <w:rFonts w:hint="eastAsia" w:ascii="宋体" w:hAnsi="宋体" w:cs="宋体"/>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合同</w:t>
            </w:r>
          </w:p>
          <w:p>
            <w:pPr>
              <w:snapToGrid w:val="0"/>
              <w:spacing w:line="360" w:lineRule="auto"/>
              <w:jc w:val="center"/>
              <w:rPr>
                <w:rFonts w:hint="eastAsia" w:ascii="宋体" w:hAnsi="宋体" w:cs="宋体"/>
                <w:szCs w:val="21"/>
              </w:rPr>
            </w:pPr>
            <w:r>
              <w:rPr>
                <w:rFonts w:hint="eastAsia" w:ascii="宋体" w:hAnsi="宋体" w:cs="宋体"/>
                <w:szCs w:val="21"/>
              </w:rPr>
              <w:t>金额</w:t>
            </w:r>
          </w:p>
          <w:p>
            <w:pPr>
              <w:snapToGrid w:val="0"/>
              <w:spacing w:line="360" w:lineRule="auto"/>
              <w:jc w:val="center"/>
              <w:rPr>
                <w:rFonts w:hint="eastAsia" w:ascii="宋体" w:hAnsi="宋体" w:cs="宋体"/>
                <w:szCs w:val="21"/>
              </w:rPr>
            </w:pPr>
            <w:r>
              <w:rPr>
                <w:rFonts w:hint="eastAsia" w:ascii="宋体" w:hAnsi="宋体" w:cs="宋体"/>
                <w:szCs w:val="21"/>
              </w:rPr>
              <w:t>（万元）</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附件页码</w:t>
            </w:r>
          </w:p>
        </w:tc>
        <w:tc>
          <w:tcPr>
            <w:tcW w:w="311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采购单位联系人及</w:t>
            </w:r>
          </w:p>
          <w:p>
            <w:pPr>
              <w:snapToGrid w:val="0"/>
              <w:spacing w:line="360" w:lineRule="auto"/>
              <w:jc w:val="center"/>
              <w:rPr>
                <w:rFonts w:hint="eastAsia"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合同</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cs="宋体"/>
                <w:szCs w:val="21"/>
              </w:rPr>
            </w:pPr>
          </w:p>
        </w:tc>
      </w:tr>
    </w:tbl>
    <w:p>
      <w:pPr>
        <w:pStyle w:val="9"/>
        <w:snapToGrid w:val="0"/>
        <w:spacing w:before="0" w:after="0" w:line="360" w:lineRule="auto"/>
        <w:rPr>
          <w:rFonts w:hint="eastAsia" w:ascii="宋体" w:hAnsi="宋体" w:eastAsia="宋体" w:cs="宋体"/>
          <w:sz w:val="21"/>
          <w:szCs w:val="21"/>
        </w:rPr>
      </w:pPr>
    </w:p>
    <w:p>
      <w:pPr>
        <w:pStyle w:val="9"/>
        <w:snapToGrid w:val="0"/>
        <w:spacing w:before="0" w:after="0" w:line="360" w:lineRule="auto"/>
        <w:rPr>
          <w:rFonts w:hint="eastAsia" w:ascii="宋体" w:hAnsi="宋体" w:eastAsia="宋体" w:cs="宋体"/>
          <w:sz w:val="21"/>
          <w:szCs w:val="21"/>
          <w:u w:val="single"/>
        </w:rPr>
      </w:pPr>
      <w:r>
        <w:rPr>
          <w:rFonts w:hint="eastAsia" w:ascii="宋体" w:hAnsi="宋体" w:eastAsia="宋体" w:cs="宋体"/>
          <w:sz w:val="21"/>
          <w:szCs w:val="21"/>
        </w:rPr>
        <w:t>法定代表人签字（或盖章）：</w:t>
      </w:r>
      <w:r>
        <w:rPr>
          <w:rFonts w:hint="eastAsia" w:ascii="宋体" w:hAnsi="宋体" w:eastAsia="宋体" w:cs="宋体"/>
          <w:sz w:val="21"/>
          <w:szCs w:val="21"/>
          <w:u w:val="single"/>
        </w:rPr>
        <w:t>　　　　　</w:t>
      </w:r>
    </w:p>
    <w:p>
      <w:pPr>
        <w:snapToGrid w:val="0"/>
        <w:spacing w:line="360" w:lineRule="auto"/>
        <w:jc w:val="left"/>
        <w:rPr>
          <w:rFonts w:hint="eastAsia" w:ascii="宋体" w:hAnsi="宋体" w:cs="宋体"/>
          <w:szCs w:val="21"/>
        </w:rPr>
      </w:pPr>
      <w:r>
        <w:rPr>
          <w:rFonts w:hint="eastAsia" w:ascii="宋体" w:hAnsi="宋体" w:cs="宋体"/>
          <w:szCs w:val="21"/>
        </w:rPr>
        <w:t>投标人公章：</w:t>
      </w:r>
      <w:r>
        <w:rPr>
          <w:rFonts w:hint="eastAsia" w:ascii="宋体" w:hAnsi="宋体" w:cs="宋体"/>
          <w:szCs w:val="21"/>
          <w:u w:val="single"/>
        </w:rPr>
        <w:t xml:space="preserve">                 </w:t>
      </w:r>
      <w:r>
        <w:rPr>
          <w:rFonts w:hint="eastAsia" w:ascii="宋体" w:hAnsi="宋体" w:cs="宋体"/>
          <w:szCs w:val="21"/>
        </w:rPr>
        <w:t xml:space="preserve">                                           年    月  日</w:t>
      </w:r>
    </w:p>
    <w:p>
      <w:pPr>
        <w:snapToGrid w:val="0"/>
        <w:spacing w:line="360" w:lineRule="auto"/>
        <w:ind w:firstLine="420" w:firstLineChars="200"/>
        <w:jc w:val="left"/>
        <w:rPr>
          <w:rFonts w:hint="eastAsia" w:ascii="宋体" w:hAnsi="宋体" w:cs="宋体"/>
          <w:szCs w:val="21"/>
        </w:rPr>
      </w:pPr>
    </w:p>
    <w:p>
      <w:pPr>
        <w:snapToGrid w:val="0"/>
        <w:spacing w:line="360" w:lineRule="auto"/>
        <w:jc w:val="left"/>
        <w:rPr>
          <w:rFonts w:hint="eastAsia" w:ascii="宋体" w:hAnsi="宋体" w:cs="宋体"/>
          <w:szCs w:val="21"/>
        </w:rPr>
        <w:sectPr>
          <w:pgSz w:w="16838" w:h="11906" w:orient="landscape"/>
          <w:pgMar w:top="1797" w:right="1474" w:bottom="1797" w:left="1247" w:header="851" w:footer="851" w:gutter="0"/>
          <w:pgBorders>
            <w:top w:val="none" w:sz="0" w:space="0"/>
            <w:left w:val="none" w:sz="0" w:space="0"/>
            <w:bottom w:val="none" w:sz="0" w:space="0"/>
            <w:right w:val="none" w:sz="0" w:space="0"/>
          </w:pgBorders>
          <w:pgNumType w:fmt="decimal"/>
          <w:cols w:space="720" w:num="1"/>
          <w:docGrid w:linePitch="312" w:charSpace="0"/>
        </w:sectPr>
      </w:pPr>
    </w:p>
    <w:p>
      <w:pPr>
        <w:snapToGrid w:val="0"/>
        <w:spacing w:line="360" w:lineRule="auto"/>
        <w:jc w:val="left"/>
        <w:rPr>
          <w:rFonts w:hint="eastAsia" w:ascii="宋体" w:hAnsi="宋体" w:cs="宋体"/>
          <w:b/>
          <w:szCs w:val="21"/>
        </w:rPr>
      </w:pPr>
      <w:r>
        <w:rPr>
          <w:rFonts w:hint="eastAsia" w:ascii="宋体" w:hAnsi="宋体" w:cs="宋体"/>
          <w:b/>
          <w:szCs w:val="21"/>
          <w:lang w:val="en-US" w:eastAsia="zh-CN"/>
        </w:rPr>
        <w:t>9</w:t>
      </w:r>
      <w:r>
        <w:rPr>
          <w:rFonts w:hint="eastAsia" w:ascii="宋体" w:hAnsi="宋体" w:cs="宋体"/>
          <w:b/>
          <w:szCs w:val="21"/>
        </w:rPr>
        <w:t>、商务响应表格式</w:t>
      </w:r>
    </w:p>
    <w:tbl>
      <w:tblPr>
        <w:tblStyle w:val="27"/>
        <w:tblW w:w="85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5"/>
        <w:gridCol w:w="2712"/>
        <w:gridCol w:w="1265"/>
        <w:gridCol w:w="30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r>
              <w:rPr>
                <w:rFonts w:hint="eastAsia" w:ascii="宋体" w:hAnsi="宋体" w:cs="宋体"/>
                <w:szCs w:val="21"/>
              </w:rPr>
              <w:t>项目</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r>
              <w:rPr>
                <w:rFonts w:hint="eastAsia" w:ascii="宋体" w:hAnsi="宋体" w:cs="宋体"/>
                <w:szCs w:val="21"/>
              </w:rPr>
              <w:t>招标文件要求</w:t>
            </w: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r>
              <w:rPr>
                <w:rFonts w:hint="eastAsia" w:ascii="宋体" w:hAnsi="宋体" w:cs="宋体"/>
                <w:szCs w:val="21"/>
              </w:rPr>
              <w:t>是否响应</w:t>
            </w: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r>
              <w:rPr>
                <w:rFonts w:hint="eastAsia" w:ascii="宋体" w:hAnsi="宋体" w:cs="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r>
              <w:rPr>
                <w:rFonts w:hint="eastAsia" w:ascii="宋体" w:hAnsi="宋体" w:cs="宋体"/>
                <w:szCs w:val="21"/>
              </w:rPr>
              <w:t>服务要求</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r>
              <w:rPr>
                <w:rFonts w:hint="eastAsia" w:ascii="宋体" w:hAnsi="宋体" w:cs="宋体"/>
                <w:szCs w:val="21"/>
              </w:rPr>
              <w:t>付款条件</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r>
              <w:rPr>
                <w:rFonts w:hint="eastAsia" w:ascii="宋体" w:hAnsi="宋体" w:cs="宋体"/>
                <w:szCs w:val="21"/>
              </w:rPr>
              <w:t>…</w:t>
            </w:r>
          </w:p>
        </w:tc>
        <w:tc>
          <w:tcPr>
            <w:tcW w:w="271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303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bl>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pStyle w:val="16"/>
        <w:snapToGrid w:val="0"/>
        <w:spacing w:before="24" w:beforeLines="10" w:after="24" w:afterLines="10"/>
        <w:ind w:left="842" w:hanging="422"/>
        <w:rPr>
          <w:rFonts w:hint="eastAsia" w:hAnsi="宋体" w:cs="宋体"/>
          <w:b/>
          <w:sz w:val="21"/>
          <w:szCs w:val="21"/>
        </w:rPr>
      </w:pPr>
    </w:p>
    <w:p>
      <w:pPr>
        <w:pStyle w:val="16"/>
        <w:snapToGrid w:val="0"/>
        <w:spacing w:before="24" w:beforeLines="10" w:after="24" w:afterLines="10"/>
        <w:ind w:left="842" w:hanging="422"/>
        <w:rPr>
          <w:rFonts w:hint="eastAsia" w:hAnsi="宋体" w:cs="宋体"/>
          <w:b/>
          <w:sz w:val="21"/>
          <w:szCs w:val="21"/>
        </w:rPr>
      </w:pPr>
    </w:p>
    <w:p>
      <w:pPr>
        <w:pStyle w:val="16"/>
        <w:snapToGrid w:val="0"/>
        <w:spacing w:before="24" w:beforeLines="10" w:after="24" w:afterLines="10"/>
        <w:ind w:left="842" w:hanging="422"/>
        <w:rPr>
          <w:rFonts w:hint="eastAsia" w:hAnsi="宋体" w:cs="宋体"/>
          <w:b/>
          <w:sz w:val="21"/>
          <w:szCs w:val="21"/>
        </w:rPr>
      </w:pPr>
    </w:p>
    <w:p>
      <w:pPr>
        <w:pStyle w:val="16"/>
        <w:snapToGrid w:val="0"/>
        <w:spacing w:before="24" w:beforeLines="10" w:after="24" w:afterLines="10"/>
        <w:ind w:left="842" w:hanging="422"/>
        <w:rPr>
          <w:rFonts w:hint="eastAsia" w:hAnsi="宋体" w:cs="宋体"/>
          <w:b/>
          <w:sz w:val="21"/>
          <w:szCs w:val="21"/>
        </w:rPr>
      </w:pPr>
      <w:r>
        <w:rPr>
          <w:rFonts w:hint="eastAsia" w:hAnsi="宋体" w:cs="宋体"/>
          <w:b/>
          <w:sz w:val="21"/>
          <w:szCs w:val="21"/>
        </w:rPr>
        <w:br w:type="page"/>
      </w:r>
      <w:r>
        <w:rPr>
          <w:rFonts w:hint="eastAsia" w:hAnsi="宋体" w:cs="宋体"/>
          <w:b/>
          <w:sz w:val="21"/>
          <w:szCs w:val="21"/>
          <w:lang w:val="en-US" w:eastAsia="zh-CN"/>
        </w:rPr>
        <w:t>10</w:t>
      </w:r>
      <w:r>
        <w:rPr>
          <w:rFonts w:hint="eastAsia" w:hAnsi="宋体" w:cs="宋体"/>
          <w:b/>
          <w:sz w:val="21"/>
          <w:szCs w:val="21"/>
        </w:rPr>
        <w:t>、中小企业声明函</w:t>
      </w:r>
    </w:p>
    <w:p>
      <w:pPr>
        <w:keepNext w:val="0"/>
        <w:keepLines w:val="0"/>
        <w:pageBreakBefore w:val="0"/>
        <w:widowControl w:val="0"/>
        <w:kinsoku/>
        <w:wordWrap w:val="0"/>
        <w:overflowPunct w:val="0"/>
        <w:topLinePunct w:val="0"/>
        <w:autoSpaceDE w:val="0"/>
        <w:autoSpaceDN w:val="0"/>
        <w:bidi w:val="0"/>
        <w:snapToGrid w:val="0"/>
        <w:spacing w:before="50" w:after="156" w:afterLines="50" w:line="400" w:lineRule="exact"/>
        <w:jc w:val="center"/>
        <w:rPr>
          <w:rFonts w:hint="eastAsia" w:ascii="宋体" w:hAnsi="宋体" w:eastAsia="宋体" w:cs="宋体"/>
          <w:b/>
          <w:color w:val="000000"/>
          <w:sz w:val="28"/>
          <w:szCs w:val="28"/>
          <w:highlight w:val="none"/>
        </w:rPr>
      </w:pPr>
      <w:r>
        <w:rPr>
          <w:rFonts w:hint="eastAsia" w:ascii="宋体" w:hAnsi="宋体" w:eastAsia="宋体" w:cs="宋体"/>
          <w:b/>
          <w:bCs/>
          <w:color w:val="000000"/>
          <w:sz w:val="32"/>
          <w:szCs w:val="32"/>
          <w:highlight w:val="none"/>
        </w:rPr>
        <w:t>中小企业声明函</w:t>
      </w:r>
      <w:r>
        <w:rPr>
          <w:rFonts w:hint="eastAsia" w:ascii="宋体" w:hAnsi="宋体" w:eastAsia="宋体" w:cs="宋体"/>
          <w:b/>
          <w:bCs/>
          <w:color w:val="000000"/>
          <w:sz w:val="32"/>
          <w:szCs w:val="32"/>
          <w:highlight w:val="none"/>
          <w:lang w:eastAsia="zh-CN"/>
        </w:rPr>
        <w:t>（工程、服务）</w:t>
      </w:r>
    </w:p>
    <w:p>
      <w:pPr>
        <w:keepNext w:val="0"/>
        <w:keepLines w:val="0"/>
        <w:pageBreakBefore w:val="0"/>
        <w:widowControl w:val="0"/>
        <w:kinsoku/>
        <w:wordWrap w:val="0"/>
        <w:overflowPunct w:val="0"/>
        <w:topLinePunct w:val="0"/>
        <w:autoSpaceDE w:val="0"/>
        <w:autoSpaceDN w:val="0"/>
        <w:bidi w:val="0"/>
        <w:adjustRightInd/>
        <w:snapToGrid/>
        <w:spacing w:before="95" w:beforeLines="30" w:line="400" w:lineRule="exact"/>
        <w:ind w:left="0" w:leftChars="0" w:right="0" w:rightChars="0" w:firstLine="480"/>
        <w:jc w:val="both"/>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本公司（联合体）郑重声明，根据《政府采购促进中小企业发展管理办法》（财库﹝2020﹞46 号）的规定，本公司（联合体）参加</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（单位名称）</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的</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（项目名称）</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val="0"/>
        <w:kinsoku/>
        <w:wordWrap w:val="0"/>
        <w:overflowPunct w:val="0"/>
        <w:topLinePunct w:val="0"/>
        <w:autoSpaceDE w:val="0"/>
        <w:autoSpaceDN w:val="0"/>
        <w:bidi w:val="0"/>
        <w:adjustRightInd/>
        <w:snapToGrid/>
        <w:spacing w:before="95" w:beforeLines="30" w:line="400" w:lineRule="exact"/>
        <w:ind w:left="0" w:leftChars="0" w:right="0" w:rightChars="0" w:firstLine="480"/>
        <w:jc w:val="both"/>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（标的名称）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，属于</w:t>
      </w:r>
      <w:r>
        <w:rPr>
          <w:rFonts w:hint="eastAsia" w:ascii="宋体" w:hAnsi="宋体" w:eastAsia="宋体" w:cs="宋体"/>
          <w:color w:val="000000"/>
          <w:sz w:val="24"/>
          <w:szCs w:val="24"/>
          <w:highlight w:val="none"/>
          <w:u w:val="single"/>
          <w:lang w:val="en-US" w:eastAsia="zh-CN"/>
        </w:rPr>
        <w:t xml:space="preserve"> 其他未列明行业 </w:t>
      </w:r>
      <w:r>
        <w:rPr>
          <w:rFonts w:hint="eastAsia" w:ascii="宋体" w:hAnsi="宋体" w:eastAsia="宋体" w:cs="宋体"/>
          <w:color w:val="000000"/>
          <w:sz w:val="24"/>
          <w:szCs w:val="24"/>
          <w:highlight w:val="none"/>
        </w:rPr>
        <w:t>； 承建（承接）企业为</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（企业名称）</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，从业人员</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人，营业收入为</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万元，资产总额为</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万元 ，属于</w:t>
      </w:r>
      <w:r>
        <w:rPr>
          <w:rFonts w:hint="eastAsia" w:ascii="宋体" w:hAnsi="宋体" w:eastAsia="宋体" w:cs="宋体"/>
          <w:color w:val="000000"/>
          <w:sz w:val="24"/>
          <w:szCs w:val="24"/>
          <w:highlight w:val="none"/>
          <w:u w:val="single"/>
        </w:rPr>
        <w:t>（中型企业、小型企业、微型企业）</w:t>
      </w:r>
      <w:r>
        <w:rPr>
          <w:rFonts w:hint="eastAsia" w:ascii="宋体" w:hAnsi="宋体" w:eastAsia="宋体" w:cs="宋体"/>
          <w:color w:val="000000"/>
          <w:sz w:val="24"/>
          <w:szCs w:val="24"/>
          <w:highlight w:val="none"/>
        </w:rPr>
        <w:t>；</w:t>
      </w:r>
    </w:p>
    <w:p>
      <w:pPr>
        <w:keepNext w:val="0"/>
        <w:keepLines w:val="0"/>
        <w:pageBreakBefore w:val="0"/>
        <w:widowControl w:val="0"/>
        <w:kinsoku/>
        <w:wordWrap w:val="0"/>
        <w:overflowPunct w:val="0"/>
        <w:topLinePunct w:val="0"/>
        <w:autoSpaceDE w:val="0"/>
        <w:autoSpaceDN w:val="0"/>
        <w:bidi w:val="0"/>
        <w:adjustRightInd/>
        <w:snapToGrid/>
        <w:spacing w:before="95" w:beforeLines="30" w:line="400" w:lineRule="exact"/>
        <w:ind w:left="0" w:leftChars="0" w:right="0" w:rightChars="0"/>
        <w:jc w:val="both"/>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p>
    <w:p>
      <w:pPr>
        <w:keepNext w:val="0"/>
        <w:keepLines w:val="0"/>
        <w:pageBreakBefore w:val="0"/>
        <w:widowControl w:val="0"/>
        <w:kinsoku/>
        <w:wordWrap w:val="0"/>
        <w:overflowPunct w:val="0"/>
        <w:topLinePunct w:val="0"/>
        <w:autoSpaceDE w:val="0"/>
        <w:autoSpaceDN w:val="0"/>
        <w:bidi w:val="0"/>
        <w:adjustRightInd/>
        <w:snapToGrid/>
        <w:spacing w:before="95" w:beforeLines="30" w:line="400" w:lineRule="exact"/>
        <w:ind w:left="0" w:leftChars="0" w:right="0" w:rightChars="0" w:firstLine="480"/>
        <w:jc w:val="both"/>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以上企业，不属于大企业的分支机构，不存在控股股东为大企业的情形，也不存在与大企业的负责人为同一人的情形。 </w:t>
      </w:r>
    </w:p>
    <w:p>
      <w:pPr>
        <w:keepNext w:val="0"/>
        <w:keepLines w:val="0"/>
        <w:pageBreakBefore w:val="0"/>
        <w:widowControl w:val="0"/>
        <w:kinsoku/>
        <w:wordWrap w:val="0"/>
        <w:overflowPunct w:val="0"/>
        <w:topLinePunct w:val="0"/>
        <w:autoSpaceDE w:val="0"/>
        <w:autoSpaceDN w:val="0"/>
        <w:bidi w:val="0"/>
        <w:adjustRightInd/>
        <w:snapToGrid/>
        <w:spacing w:before="63" w:beforeLines="20" w:line="400" w:lineRule="exact"/>
        <w:ind w:left="0" w:leftChars="0" w:right="0" w:rightChars="0" w:firstLine="480"/>
        <w:jc w:val="both"/>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rPr>
        <w:t>本企业对上述声明内容的真实性负责。如有虚假，将依法承担相应责任。</w:t>
      </w:r>
    </w:p>
    <w:p>
      <w:pPr>
        <w:keepNext w:val="0"/>
        <w:keepLines w:val="0"/>
        <w:pageBreakBefore w:val="0"/>
        <w:widowControl w:val="0"/>
        <w:kinsoku/>
        <w:wordWrap w:val="0"/>
        <w:overflowPunct w:val="0"/>
        <w:topLinePunct w:val="0"/>
        <w:autoSpaceDE w:val="0"/>
        <w:autoSpaceDN w:val="0"/>
        <w:bidi w:val="0"/>
        <w:adjustRightInd/>
        <w:snapToGrid/>
        <w:spacing w:before="63" w:beforeLines="20" w:line="400" w:lineRule="exact"/>
        <w:ind w:left="0" w:leftChars="0" w:right="0" w:right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企业名称（盖章）：</w:t>
      </w:r>
    </w:p>
    <w:p>
      <w:pPr>
        <w:keepNext w:val="0"/>
        <w:keepLines w:val="0"/>
        <w:pageBreakBefore w:val="0"/>
        <w:widowControl w:val="0"/>
        <w:kinsoku/>
        <w:wordWrap w:val="0"/>
        <w:overflowPunct w:val="0"/>
        <w:topLinePunct w:val="0"/>
        <w:autoSpaceDE w:val="0"/>
        <w:autoSpaceDN w:val="0"/>
        <w:bidi w:val="0"/>
        <w:adjustRightInd/>
        <w:snapToGrid/>
        <w:spacing w:before="63" w:beforeLines="20" w:line="400" w:lineRule="exact"/>
        <w:ind w:left="0" w:leftChars="0" w:right="0" w:right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日期：</w:t>
      </w:r>
    </w:p>
    <w:p>
      <w:pPr>
        <w:keepNext w:val="0"/>
        <w:keepLines w:val="0"/>
        <w:pageBreakBefore w:val="0"/>
        <w:widowControl w:val="0"/>
        <w:kinsoku/>
        <w:wordWrap w:val="0"/>
        <w:overflowPunct w:val="0"/>
        <w:topLinePunct w:val="0"/>
        <w:autoSpaceDE w:val="0"/>
        <w:autoSpaceDN w:val="0"/>
        <w:bidi w:val="0"/>
        <w:snapToGrid w:val="0"/>
        <w:spacing w:line="400" w:lineRule="exact"/>
        <w:ind w:firstLine="0"/>
        <w:rPr>
          <w:rFonts w:hint="eastAsia" w:ascii="宋体" w:hAnsi="宋体" w:eastAsia="宋体" w:cs="宋体"/>
          <w:b/>
          <w:bCs w:val="0"/>
          <w:color w:val="000000"/>
          <w:sz w:val="24"/>
          <w:highlight w:val="none"/>
        </w:rPr>
      </w:pPr>
    </w:p>
    <w:p>
      <w:pPr>
        <w:keepNext w:val="0"/>
        <w:keepLines w:val="0"/>
        <w:pageBreakBefore w:val="0"/>
        <w:widowControl w:val="0"/>
        <w:kinsoku/>
        <w:wordWrap w:val="0"/>
        <w:overflowPunct w:val="0"/>
        <w:topLinePunct w:val="0"/>
        <w:autoSpaceDE w:val="0"/>
        <w:autoSpaceDN w:val="0"/>
        <w:bidi w:val="0"/>
        <w:snapToGrid w:val="0"/>
        <w:spacing w:line="400" w:lineRule="exact"/>
        <w:rPr>
          <w:rFonts w:hint="eastAsia" w:ascii="宋体" w:hAnsi="宋体" w:eastAsia="宋体" w:cs="宋体"/>
          <w:b/>
          <w:bCs w:val="0"/>
          <w:color w:val="000000"/>
          <w:sz w:val="24"/>
          <w:highlight w:val="none"/>
          <w:lang w:val="en-US" w:eastAsia="zh-CN"/>
        </w:rPr>
      </w:pPr>
      <w:r>
        <w:rPr>
          <w:rFonts w:hint="eastAsia" w:ascii="宋体" w:hAnsi="宋体" w:eastAsia="宋体" w:cs="宋体"/>
          <w:b/>
          <w:bCs w:val="0"/>
          <w:color w:val="000000"/>
          <w:sz w:val="24"/>
          <w:highlight w:val="none"/>
          <w:lang w:val="en-US" w:eastAsia="zh-CN"/>
        </w:rPr>
        <w:t xml:space="preserve">    </w:t>
      </w:r>
    </w:p>
    <w:p>
      <w:pPr>
        <w:keepNext w:val="0"/>
        <w:keepLines w:val="0"/>
        <w:pageBreakBefore w:val="0"/>
        <w:widowControl w:val="0"/>
        <w:kinsoku/>
        <w:wordWrap w:val="0"/>
        <w:overflowPunct w:val="0"/>
        <w:topLinePunct w:val="0"/>
        <w:autoSpaceDE w:val="0"/>
        <w:autoSpaceDN w:val="0"/>
        <w:bidi w:val="0"/>
        <w:snapToGrid w:val="0"/>
        <w:spacing w:line="400" w:lineRule="exact"/>
        <w:rPr>
          <w:rFonts w:hint="eastAsia" w:ascii="宋体" w:hAnsi="宋体" w:eastAsia="宋体" w:cs="宋体"/>
          <w:b/>
          <w:bCs w:val="0"/>
          <w:color w:val="000000"/>
          <w:sz w:val="24"/>
          <w:highlight w:val="none"/>
        </w:rPr>
      </w:pPr>
      <w:r>
        <w:rPr>
          <w:rFonts w:hint="eastAsia" w:ascii="宋体" w:hAnsi="宋体" w:eastAsia="宋体" w:cs="宋体"/>
          <w:b/>
          <w:bCs w:val="0"/>
          <w:color w:val="000000"/>
          <w:sz w:val="24"/>
          <w:highlight w:val="none"/>
        </w:rPr>
        <w:t>注：</w:t>
      </w:r>
    </w:p>
    <w:p>
      <w:pPr>
        <w:keepNext w:val="0"/>
        <w:keepLines w:val="0"/>
        <w:pageBreakBefore w:val="0"/>
        <w:widowControl w:val="0"/>
        <w:kinsoku/>
        <w:wordWrap w:val="0"/>
        <w:overflowPunct/>
        <w:topLinePunct/>
        <w:autoSpaceDE/>
        <w:autoSpaceDN/>
        <w:bidi w:val="0"/>
        <w:snapToGrid w:val="0"/>
        <w:spacing w:line="360" w:lineRule="auto"/>
        <w:ind w:firstLine="480"/>
        <w:rPr>
          <w:rFonts w:hint="eastAsia" w:ascii="宋体" w:hAnsi="宋体" w:eastAsia="宋体" w:cs="宋体"/>
          <w:b/>
          <w:bCs w:val="0"/>
          <w:color w:val="000000"/>
          <w:sz w:val="24"/>
          <w:highlight w:val="none"/>
        </w:rPr>
      </w:pPr>
      <w:r>
        <w:rPr>
          <w:rFonts w:hint="eastAsia" w:ascii="宋体" w:hAnsi="宋体" w:eastAsia="宋体" w:cs="宋体"/>
          <w:b/>
          <w:bCs w:val="0"/>
          <w:color w:val="000000"/>
          <w:sz w:val="24"/>
          <w:highlight w:val="none"/>
          <w:lang w:val="en-US" w:eastAsia="zh-CN"/>
        </w:rPr>
        <w:t>1、</w:t>
      </w:r>
      <w:r>
        <w:rPr>
          <w:rFonts w:hint="eastAsia" w:ascii="宋体" w:hAnsi="宋体" w:eastAsia="宋体" w:cs="宋体"/>
          <w:b/>
          <w:bCs w:val="0"/>
          <w:color w:val="000000"/>
          <w:sz w:val="24"/>
          <w:highlight w:val="none"/>
        </w:rPr>
        <w:t>从业人员、营业收入、资产总额填报上一年度数据，无上一年度数据的新成立企业可不填报。</w:t>
      </w:r>
    </w:p>
    <w:p>
      <w:pPr>
        <w:keepNext w:val="0"/>
        <w:keepLines w:val="0"/>
        <w:pageBreakBefore w:val="0"/>
        <w:widowControl w:val="0"/>
        <w:kinsoku/>
        <w:wordWrap w:val="0"/>
        <w:overflowPunct/>
        <w:topLinePunct/>
        <w:autoSpaceDE/>
        <w:autoSpaceDN/>
        <w:bidi w:val="0"/>
        <w:snapToGrid w:val="0"/>
        <w:spacing w:line="360" w:lineRule="auto"/>
        <w:ind w:firstLine="480"/>
        <w:rPr>
          <w:rFonts w:hint="eastAsia" w:ascii="宋体" w:hAnsi="宋体" w:eastAsia="宋体" w:cs="宋体"/>
          <w:b/>
          <w:bCs w:val="0"/>
          <w:color w:val="000000"/>
          <w:sz w:val="24"/>
          <w:highlight w:val="none"/>
          <w:lang w:eastAsia="zh-CN"/>
        </w:rPr>
      </w:pPr>
      <w:r>
        <w:rPr>
          <w:rFonts w:hint="eastAsia" w:ascii="宋体" w:hAnsi="宋体" w:eastAsia="宋体" w:cs="宋体"/>
          <w:b/>
          <w:bCs w:val="0"/>
          <w:color w:val="000000"/>
          <w:sz w:val="24"/>
          <w:highlight w:val="none"/>
          <w:lang w:val="en-US" w:eastAsia="zh-CN"/>
        </w:rPr>
        <w:t>2、</w:t>
      </w:r>
      <w:r>
        <w:rPr>
          <w:rFonts w:hint="eastAsia" w:ascii="宋体" w:hAnsi="宋体" w:eastAsia="宋体" w:cs="宋体"/>
          <w:b/>
          <w:bCs w:val="0"/>
          <w:color w:val="000000"/>
          <w:sz w:val="24"/>
          <w:highlight w:val="none"/>
          <w:lang w:eastAsia="zh-CN"/>
        </w:rPr>
        <w:t>根据财库〔2020〕46号、财库〔2022〕19号、浙财采监〔2022〕8号文件的相关规定：中标、成交供应商享受本办法规定的中小企业扶持政策的，采购人、采购代理机构应当随中标、成交结果公开中标、成交供应商的《中小企业声明函》。供应商按照本办法规定提供声明函内容不实的，属于提供虚假材料谋取中标、成交，依照《中华人民共和国政府采购法》等国家有关规定追究相应责任。</w:t>
      </w:r>
    </w:p>
    <w:p>
      <w:pPr>
        <w:keepNext w:val="0"/>
        <w:keepLines w:val="0"/>
        <w:pageBreakBefore w:val="0"/>
        <w:widowControl w:val="0"/>
        <w:kinsoku/>
        <w:wordWrap w:val="0"/>
        <w:overflowPunct/>
        <w:topLinePunct/>
        <w:autoSpaceDE/>
        <w:autoSpaceDN/>
        <w:bidi w:val="0"/>
        <w:adjustRightInd/>
        <w:snapToGrid/>
        <w:spacing w:before="0" w:after="0" w:line="400" w:lineRule="exact"/>
        <w:ind w:left="0" w:leftChars="0" w:right="0" w:rightChars="0" w:firstLine="482" w:firstLineChars="200"/>
        <w:jc w:val="both"/>
        <w:textAlignment w:val="auto"/>
        <w:outlineLvl w:val="9"/>
        <w:rPr>
          <w:rFonts w:hint="eastAsia"/>
          <w:b/>
          <w:bCs w:val="0"/>
          <w:color w:val="000000"/>
          <w:lang w:val="en-US" w:eastAsia="zh-CN"/>
        </w:rPr>
      </w:pPr>
      <w:bookmarkStart w:id="41" w:name="_Toc18026"/>
      <w:r>
        <w:rPr>
          <w:rFonts w:hint="eastAsia" w:ascii="宋体" w:hAnsi="宋体" w:eastAsia="宋体" w:cs="宋体"/>
          <w:b/>
          <w:bCs w:val="0"/>
          <w:color w:val="000000"/>
          <w:sz w:val="24"/>
          <w:highlight w:val="none"/>
          <w:lang w:val="en-US" w:eastAsia="zh-CN"/>
        </w:rPr>
        <w:t>3、</w:t>
      </w:r>
      <w:r>
        <w:rPr>
          <w:rFonts w:ascii="宋体" w:hAnsi="宋体" w:eastAsia="宋体" w:cs="宋体"/>
          <w:b/>
          <w:bCs w:val="0"/>
          <w:color w:val="000000"/>
          <w:sz w:val="24"/>
          <w:szCs w:val="24"/>
        </w:rPr>
        <w:t>中小企业划型标准</w:t>
      </w:r>
      <w:r>
        <w:rPr>
          <w:rFonts w:hint="eastAsia" w:ascii="宋体" w:hAnsi="宋体" w:eastAsia="宋体" w:cs="宋体"/>
          <w:b/>
          <w:bCs w:val="0"/>
          <w:color w:val="000000"/>
          <w:sz w:val="24"/>
          <w:szCs w:val="24"/>
          <w:lang w:eastAsia="zh-CN"/>
        </w:rPr>
        <w:t>请按照《</w:t>
      </w:r>
      <w:r>
        <w:rPr>
          <w:rFonts w:ascii="宋体" w:hAnsi="宋体" w:eastAsia="宋体" w:cs="宋体"/>
          <w:b/>
          <w:bCs w:val="0"/>
          <w:color w:val="000000"/>
          <w:sz w:val="24"/>
          <w:szCs w:val="24"/>
        </w:rPr>
        <w:t xml:space="preserve">工信部联企业〔2011〕300号 </w:t>
      </w:r>
      <w:r>
        <w:rPr>
          <w:rFonts w:hint="eastAsia" w:ascii="宋体" w:hAnsi="宋体" w:eastAsia="宋体" w:cs="宋体"/>
          <w:b/>
          <w:bCs w:val="0"/>
          <w:color w:val="000000"/>
          <w:sz w:val="24"/>
          <w:szCs w:val="24"/>
          <w:lang w:eastAsia="zh-CN"/>
        </w:rPr>
        <w:t>》之</w:t>
      </w:r>
      <w:r>
        <w:rPr>
          <w:rFonts w:ascii="宋体" w:hAnsi="宋体" w:eastAsia="宋体" w:cs="宋体"/>
          <w:b/>
          <w:bCs w:val="0"/>
          <w:color w:val="000000"/>
          <w:sz w:val="24"/>
          <w:szCs w:val="24"/>
        </w:rPr>
        <w:t>规定</w:t>
      </w:r>
      <w:bookmarkEnd w:id="41"/>
    </w:p>
    <w:tbl>
      <w:tblPr>
        <w:tblStyle w:val="27"/>
        <w:tblW w:w="8683"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978"/>
        <w:gridCol w:w="1445"/>
        <w:gridCol w:w="1035"/>
        <w:gridCol w:w="1725"/>
        <w:gridCol w:w="1537"/>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1978"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Style w:val="30"/>
                <w:rFonts w:hint="eastAsia" w:ascii="宋体" w:hAnsi="宋体" w:eastAsia="宋体" w:cs="宋体"/>
                <w:b/>
                <w:i w:val="0"/>
                <w:caps w:val="0"/>
                <w:color w:val="000000"/>
                <w:spacing w:val="0"/>
                <w:sz w:val="21"/>
                <w:szCs w:val="21"/>
              </w:rPr>
              <w:t>行业名称</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Style w:val="30"/>
                <w:rFonts w:hint="eastAsia" w:ascii="宋体" w:hAnsi="宋体" w:eastAsia="宋体" w:cs="宋体"/>
                <w:b/>
                <w:i w:val="0"/>
                <w:caps w:val="0"/>
                <w:color w:val="000000"/>
                <w:spacing w:val="0"/>
                <w:sz w:val="21"/>
                <w:szCs w:val="21"/>
              </w:rPr>
              <w:t>指标名称</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Style w:val="30"/>
                <w:rFonts w:hint="eastAsia" w:ascii="宋体" w:hAnsi="宋体" w:eastAsia="宋体" w:cs="宋体"/>
                <w:b/>
                <w:i w:val="0"/>
                <w:caps w:val="0"/>
                <w:color w:val="000000"/>
                <w:spacing w:val="0"/>
                <w:sz w:val="21"/>
                <w:szCs w:val="21"/>
              </w:rPr>
              <w:t>计量单位</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Style w:val="30"/>
                <w:rFonts w:hint="eastAsia" w:ascii="宋体" w:hAnsi="宋体" w:eastAsia="宋体" w:cs="宋体"/>
                <w:b/>
                <w:i w:val="0"/>
                <w:caps w:val="0"/>
                <w:color w:val="000000"/>
                <w:spacing w:val="0"/>
                <w:sz w:val="21"/>
                <w:szCs w:val="21"/>
              </w:rPr>
              <w:t>中型</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Style w:val="30"/>
                <w:rFonts w:hint="eastAsia" w:ascii="宋体" w:hAnsi="宋体" w:eastAsia="宋体" w:cs="宋体"/>
                <w:b/>
                <w:i w:val="0"/>
                <w:caps w:val="0"/>
                <w:color w:val="000000"/>
                <w:spacing w:val="0"/>
                <w:sz w:val="21"/>
                <w:szCs w:val="21"/>
              </w:rPr>
              <w:t>小型</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Style w:val="30"/>
                <w:rFonts w:hint="eastAsia" w:ascii="宋体" w:hAnsi="宋体" w:eastAsia="宋体" w:cs="宋体"/>
                <w:b/>
                <w:i w:val="0"/>
                <w:caps w:val="0"/>
                <w:color w:val="000000"/>
                <w:spacing w:val="0"/>
                <w:sz w:val="21"/>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农、林、牧、渔业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500≤Y&lt;20000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50≤Y&lt;500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工业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300≤X&lt;1000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20≤X&lt;300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2000≤Y&lt;40000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300≤Y&lt;2000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建筑业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6000≤Y&lt;80000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300≤Y&lt;6000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资产总额(Z)</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5000≤Z&lt;80000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300≤Z&lt;5000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批发业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20≤X&lt;200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5≤X&lt;20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5000≤Y&lt;40000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1000≤Y&lt;5000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零售业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50≤X&lt;300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10≤X&lt;50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500≤Y&lt;20000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100≤Y&lt;500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交通运输业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300≤X&lt;1000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20≤X&lt;300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3000≤Y&lt;30000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200≤Y&lt;3000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仓储业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100≤X&lt;200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20≤X&lt;100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1000≤Y&lt;30000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100≤Y&lt;1000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邮政业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300≤X&lt;1000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20≤X&lt;300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2000≤Y&lt;30000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100≤Y&lt;2000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住宿业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100≤X&lt;300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10≤X&lt;100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2000≤Y&lt;10000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100≤Y&lt;2000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餐饮业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100≤X&lt;300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10≤X&lt;100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2000≤Y&lt;10000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100≤Y&lt;2000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信息传输业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100≤X&lt;2000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10≤X&lt;100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1000≤Y&lt;100000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100≤Y&lt;1000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软件和信息技术服务业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100≤X&lt;300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10≤X&lt;100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1000≤Y&lt;10000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50≤Y&lt;1000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房地产开发经营</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1000≤Y&lt;200000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100≤Y&lt;1000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资产总额(Z)</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5000≤Z&lt;10000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2000≤Z&lt;5000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物业管理</w:t>
            </w:r>
          </w:p>
        </w:tc>
        <w:tc>
          <w:tcPr>
            <w:tcW w:w="1445"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300≤X&lt;1000</w:t>
            </w:r>
          </w:p>
        </w:tc>
        <w:tc>
          <w:tcPr>
            <w:tcW w:w="1537"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100≤X&lt;300</w:t>
            </w:r>
          </w:p>
        </w:tc>
        <w:tc>
          <w:tcPr>
            <w:tcW w:w="963"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auto"/>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营业收入(Y)</w:t>
            </w:r>
          </w:p>
        </w:tc>
        <w:tc>
          <w:tcPr>
            <w:tcW w:w="1035"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1000≤Y&lt;5000</w:t>
            </w:r>
          </w:p>
        </w:tc>
        <w:tc>
          <w:tcPr>
            <w:tcW w:w="1537"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500≤Y&lt;1000</w:t>
            </w:r>
          </w:p>
        </w:tc>
        <w:tc>
          <w:tcPr>
            <w:tcW w:w="963" w:type="dxa"/>
            <w:shd w:val="clear" w:color="auto" w:fill="auto"/>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restart"/>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租赁和商务服务业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100≤X&lt;300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10≤X&lt;100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vMerge w:val="continue"/>
            <w:shd w:val="clear" w:color="auto" w:fill="FFFFFF"/>
            <w:noWrap w:val="0"/>
            <w:tcMar>
              <w:top w:w="30" w:type="dxa"/>
              <w:left w:w="90" w:type="dxa"/>
              <w:bottom w:w="30" w:type="dxa"/>
              <w:right w:w="90" w:type="dxa"/>
            </w:tcMar>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i w:val="0"/>
                <w:caps w:val="0"/>
                <w:color w:val="000000"/>
                <w:spacing w:val="0"/>
                <w:sz w:val="21"/>
                <w:szCs w:val="21"/>
              </w:rPr>
            </w:pP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资产总额(Z)</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万元</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8000≤Z&lt;120000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100≤Z&lt;8000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8"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其他未列明行业</w:t>
            </w:r>
          </w:p>
        </w:tc>
        <w:tc>
          <w:tcPr>
            <w:tcW w:w="144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从业人员(X)</w:t>
            </w:r>
          </w:p>
        </w:tc>
        <w:tc>
          <w:tcPr>
            <w:tcW w:w="103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人</w:t>
            </w:r>
          </w:p>
        </w:tc>
        <w:tc>
          <w:tcPr>
            <w:tcW w:w="1725"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100≤X&lt;300</w:t>
            </w:r>
          </w:p>
        </w:tc>
        <w:tc>
          <w:tcPr>
            <w:tcW w:w="1537"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10≤X&lt;100</w:t>
            </w:r>
          </w:p>
        </w:tc>
        <w:tc>
          <w:tcPr>
            <w:tcW w:w="963" w:type="dxa"/>
            <w:shd w:val="clear" w:color="auto" w:fill="FFFFFF"/>
            <w:noWrap w:val="0"/>
            <w:tcMar>
              <w:top w:w="30" w:type="dxa"/>
              <w:left w:w="90" w:type="dxa"/>
              <w:bottom w:w="30" w:type="dxa"/>
              <w:right w:w="90" w:type="dxa"/>
            </w:tcMar>
            <w:vAlign w:val="center"/>
          </w:tcPr>
          <w:p>
            <w:pPr>
              <w:pStyle w:val="2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spacing w:before="0" w:beforeAutospacing="0" w:after="0" w:afterAutospacing="0" w:line="360" w:lineRule="atLeast"/>
              <w:ind w:left="0" w:right="0" w:firstLine="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rPr>
              <w:t>X&lt;10</w:t>
            </w:r>
          </w:p>
        </w:tc>
      </w:tr>
    </w:tbl>
    <w:p>
      <w:pPr>
        <w:keepNext w:val="0"/>
        <w:keepLines w:val="0"/>
        <w:pageBreakBefore w:val="0"/>
        <w:widowControl w:val="0"/>
        <w:kinsoku/>
        <w:wordWrap w:val="0"/>
        <w:overflowPunct w:val="0"/>
        <w:topLinePunct w:val="0"/>
        <w:autoSpaceDE w:val="0"/>
        <w:autoSpaceDN w:val="0"/>
        <w:bidi w:val="0"/>
        <w:snapToGrid w:val="0"/>
        <w:spacing w:line="400" w:lineRule="exact"/>
        <w:ind w:firstLine="480"/>
        <w:rPr>
          <w:rFonts w:hint="eastAsia" w:ascii="宋体" w:hAnsi="宋体" w:eastAsia="宋体" w:cs="宋体"/>
          <w:b/>
          <w:bCs w:val="0"/>
          <w:color w:val="000000"/>
          <w:sz w:val="24"/>
          <w:highlight w:val="none"/>
          <w:lang w:eastAsia="zh-CN"/>
        </w:rPr>
      </w:pPr>
    </w:p>
    <w:p>
      <w:pPr>
        <w:pageBreakBefore w:val="0"/>
        <w:widowControl w:val="0"/>
        <w:wordWrap w:val="0"/>
        <w:topLinePunct w:val="0"/>
        <w:bidi w:val="0"/>
        <w:snapToGrid w:val="0"/>
        <w:spacing w:before="50" w:after="120" w:afterLines="50"/>
        <w:ind w:firstLine="241" w:firstLineChars="100"/>
        <w:rPr>
          <w:rFonts w:hint="eastAsia" w:ascii="宋体" w:hAnsi="宋体" w:eastAsia="宋体" w:cs="宋体"/>
          <w:b/>
          <w:color w:val="000000"/>
          <w:sz w:val="24"/>
          <w:highlight w:val="none"/>
          <w:lang w:val="en-US" w:eastAsia="zh-CN"/>
        </w:rPr>
      </w:pPr>
    </w:p>
    <w:p>
      <w:pPr>
        <w:widowControl/>
        <w:spacing w:line="360" w:lineRule="auto"/>
        <w:jc w:val="left"/>
        <w:rPr>
          <w:rFonts w:hint="eastAsia" w:ascii="宋体" w:hAnsi="宋体" w:eastAsia="宋体" w:cs="宋体"/>
          <w:b/>
          <w:color w:val="000000"/>
          <w:szCs w:val="21"/>
          <w:lang w:eastAsia="zh-CN"/>
        </w:rPr>
      </w:pPr>
      <w:r>
        <w:rPr>
          <w:rFonts w:hint="eastAsia" w:ascii="宋体" w:hAnsi="宋体" w:cs="宋体"/>
          <w:b/>
          <w:color w:val="000000"/>
          <w:szCs w:val="21"/>
        </w:rPr>
        <w:br w:type="page"/>
      </w:r>
      <w:r>
        <w:rPr>
          <w:rFonts w:hint="eastAsia" w:ascii="宋体" w:hAnsi="宋体" w:cs="宋体"/>
          <w:b/>
          <w:color w:val="000000"/>
          <w:szCs w:val="21"/>
        </w:rPr>
        <w:t>残疾人福利性单位声明函</w:t>
      </w:r>
      <w:r>
        <w:rPr>
          <w:rFonts w:hint="eastAsia" w:ascii="宋体" w:hAnsi="宋体" w:cs="宋体"/>
          <w:b/>
          <w:color w:val="000000"/>
          <w:szCs w:val="21"/>
          <w:lang w:eastAsia="zh-CN"/>
        </w:rPr>
        <w:t>和监狱企业证明</w:t>
      </w:r>
    </w:p>
    <w:p>
      <w:pPr>
        <w:widowControl/>
        <w:spacing w:line="360" w:lineRule="auto"/>
        <w:jc w:val="left"/>
        <w:rPr>
          <w:rFonts w:hint="eastAsia" w:ascii="宋体" w:hAnsi="宋体" w:cs="宋体"/>
          <w:color w:val="000000"/>
          <w:szCs w:val="21"/>
        </w:rPr>
      </w:pPr>
    </w:p>
    <w:p>
      <w:pPr>
        <w:widowControl/>
        <w:spacing w:line="360" w:lineRule="auto"/>
        <w:jc w:val="center"/>
        <w:rPr>
          <w:rFonts w:hint="eastAsia" w:ascii="宋体" w:hAnsi="宋体" w:cs="宋体"/>
          <w:b/>
          <w:color w:val="000000"/>
          <w:szCs w:val="21"/>
        </w:rPr>
      </w:pPr>
      <w:r>
        <w:rPr>
          <w:rFonts w:hint="eastAsia" w:ascii="宋体" w:hAnsi="宋体" w:cs="宋体"/>
          <w:b/>
          <w:color w:val="000000"/>
          <w:szCs w:val="21"/>
        </w:rPr>
        <w:t>残疾人福利性单位声明函</w:t>
      </w:r>
    </w:p>
    <w:p>
      <w:pPr>
        <w:widowControl/>
        <w:spacing w:line="360" w:lineRule="auto"/>
        <w:jc w:val="left"/>
        <w:rPr>
          <w:rFonts w:hint="eastAsia" w:ascii="宋体" w:hAnsi="宋体" w:cs="宋体"/>
          <w:color w:val="000000"/>
          <w:szCs w:val="21"/>
        </w:rPr>
      </w:pPr>
    </w:p>
    <w:p>
      <w:pPr>
        <w:widowControl/>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rFonts w:hint="eastAsia" w:ascii="宋体" w:hAnsi="宋体" w:cs="宋体"/>
          <w:color w:val="000000"/>
          <w:szCs w:val="21"/>
        </w:rPr>
      </w:pP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 xml:space="preserve">  本单位对上述声明的真实性负责。如有虚假，将依法承担相应责任。</w:t>
      </w:r>
    </w:p>
    <w:p>
      <w:pPr>
        <w:widowControl/>
        <w:spacing w:line="360" w:lineRule="auto"/>
        <w:jc w:val="left"/>
        <w:rPr>
          <w:rFonts w:hint="eastAsia" w:ascii="宋体" w:hAnsi="宋体" w:cs="宋体"/>
          <w:color w:val="000000"/>
          <w:szCs w:val="21"/>
        </w:rPr>
      </w:pPr>
    </w:p>
    <w:p>
      <w:pPr>
        <w:widowControl/>
        <w:spacing w:line="360" w:lineRule="auto"/>
        <w:jc w:val="center"/>
        <w:rPr>
          <w:rFonts w:hint="eastAsia" w:ascii="宋体" w:hAnsi="宋体" w:cs="宋体"/>
          <w:color w:val="000000"/>
          <w:szCs w:val="21"/>
        </w:rPr>
      </w:pPr>
      <w:r>
        <w:rPr>
          <w:rFonts w:hint="eastAsia" w:ascii="宋体" w:hAnsi="宋体" w:cs="宋体"/>
          <w:color w:val="000000"/>
          <w:szCs w:val="21"/>
        </w:rPr>
        <w:t xml:space="preserve">          投标人（盖章）：</w:t>
      </w:r>
    </w:p>
    <w:p>
      <w:pPr>
        <w:widowControl/>
        <w:spacing w:line="360" w:lineRule="auto"/>
        <w:jc w:val="center"/>
        <w:rPr>
          <w:rFonts w:hint="eastAsia" w:ascii="宋体" w:hAnsi="宋体" w:cs="宋体"/>
          <w:color w:val="000000"/>
          <w:szCs w:val="21"/>
        </w:rPr>
      </w:pPr>
      <w:r>
        <w:rPr>
          <w:rFonts w:hint="eastAsia" w:ascii="宋体" w:hAnsi="宋体" w:cs="宋体"/>
          <w:color w:val="000000"/>
          <w:szCs w:val="21"/>
        </w:rPr>
        <w:t xml:space="preserve">                  日 期：</w:t>
      </w:r>
    </w:p>
    <w:p>
      <w:pPr>
        <w:pStyle w:val="12"/>
        <w:rPr>
          <w:rFonts w:hint="eastAsia" w:ascii="宋体" w:hAnsi="宋体" w:cs="宋体"/>
          <w:color w:val="000000"/>
          <w:szCs w:val="21"/>
        </w:rPr>
      </w:pPr>
    </w:p>
    <w:p>
      <w:pPr>
        <w:rPr>
          <w:rFonts w:hint="eastAsia" w:ascii="宋体" w:hAnsi="宋体" w:cs="宋体"/>
          <w:color w:val="000000"/>
          <w:szCs w:val="21"/>
        </w:rPr>
      </w:pPr>
    </w:p>
    <w:p>
      <w:pPr>
        <w:spacing w:line="360" w:lineRule="auto"/>
        <w:jc w:val="center"/>
        <w:outlineLvl w:val="9"/>
        <w:rPr>
          <w:rFonts w:hAnsi="宋体"/>
          <w:b/>
          <w:bCs/>
          <w:color w:val="000000"/>
          <w:sz w:val="21"/>
          <w:szCs w:val="21"/>
          <w:highlight w:val="none"/>
        </w:rPr>
      </w:pPr>
      <w:bookmarkStart w:id="42" w:name="_Toc27275"/>
      <w:r>
        <w:rPr>
          <w:rFonts w:hint="eastAsia" w:hAnsi="宋体"/>
          <w:b/>
          <w:bCs/>
          <w:color w:val="000000"/>
          <w:sz w:val="21"/>
          <w:szCs w:val="21"/>
          <w:highlight w:val="none"/>
        </w:rPr>
        <w:t>监狱企业证明</w:t>
      </w:r>
      <w:bookmarkEnd w:id="42"/>
    </w:p>
    <w:p>
      <w:pPr>
        <w:spacing w:line="360" w:lineRule="auto"/>
        <w:jc w:val="center"/>
        <w:rPr>
          <w:color w:val="000000"/>
          <w:sz w:val="21"/>
          <w:szCs w:val="21"/>
          <w:highlight w:val="none"/>
        </w:rPr>
      </w:pPr>
      <w:r>
        <w:rPr>
          <w:rFonts w:hint="eastAsia"/>
          <w:color w:val="000000"/>
          <w:sz w:val="21"/>
          <w:szCs w:val="21"/>
          <w:highlight w:val="none"/>
        </w:rPr>
        <w:t>（注：符合条件的监狱企业请提供本函，不符合的不提供本函）</w:t>
      </w:r>
    </w:p>
    <w:p>
      <w:pPr>
        <w:pStyle w:val="16"/>
        <w:snapToGrid w:val="0"/>
        <w:spacing w:before="120" w:beforeLines="50" w:line="360" w:lineRule="auto"/>
        <w:rPr>
          <w:rFonts w:hAnsi="宋体" w:cs="宋体"/>
          <w:color w:val="000000"/>
          <w:sz w:val="21"/>
          <w:szCs w:val="21"/>
          <w:highlight w:val="none"/>
        </w:rPr>
      </w:pPr>
    </w:p>
    <w:p>
      <w:pPr>
        <w:pStyle w:val="16"/>
        <w:snapToGrid w:val="0"/>
        <w:spacing w:before="120" w:beforeLines="50" w:line="360" w:lineRule="auto"/>
        <w:rPr>
          <w:rFonts w:hAnsi="宋体" w:cs="宋体"/>
          <w:color w:val="000000"/>
          <w:sz w:val="21"/>
          <w:szCs w:val="21"/>
          <w:highlight w:val="none"/>
        </w:rPr>
      </w:pPr>
      <w:r>
        <w:rPr>
          <w:rFonts w:hint="eastAsia" w:hAnsi="宋体" w:cs="宋体"/>
          <w:color w:val="000000"/>
          <w:sz w:val="21"/>
          <w:szCs w:val="21"/>
          <w:highlight w:val="none"/>
        </w:rPr>
        <w:t>省级以上监狱管理局、戒毒管理局（含新疆生产建设兵团）出具的属于监狱企业的证明文件。</w:t>
      </w:r>
    </w:p>
    <w:p>
      <w:pPr>
        <w:spacing w:line="400" w:lineRule="exact"/>
        <w:ind w:firstLine="630" w:firstLineChars="300"/>
        <w:rPr>
          <w:rFonts w:hint="eastAsia"/>
          <w:color w:val="000000"/>
          <w:sz w:val="21"/>
          <w:szCs w:val="21"/>
          <w:highlight w:val="none"/>
        </w:rPr>
      </w:pPr>
    </w:p>
    <w:p>
      <w:pPr>
        <w:widowControl w:val="0"/>
        <w:wordWrap w:val="0"/>
        <w:snapToGrid w:val="0"/>
        <w:spacing w:line="360" w:lineRule="auto"/>
        <w:ind w:firstLine="840" w:firstLineChars="400"/>
        <w:rPr>
          <w:rFonts w:hint="eastAsia" w:eastAsia="宋体"/>
          <w:color w:val="000000"/>
          <w:highlight w:val="none"/>
          <w:lang w:eastAsia="zh-CN"/>
        </w:rPr>
      </w:pPr>
      <w:r>
        <w:rPr>
          <w:rFonts w:hint="eastAsia"/>
          <w:color w:val="000000"/>
          <w:sz w:val="21"/>
          <w:szCs w:val="21"/>
          <w:highlight w:val="none"/>
        </w:rPr>
        <w:t>本单位对上述声明的真实性负责。如有虚假，将依法承担相应责任。</w:t>
      </w:r>
    </w:p>
    <w:p>
      <w:pPr>
        <w:pStyle w:val="72"/>
        <w:rPr>
          <w:rFonts w:hint="eastAsia"/>
          <w:color w:val="000000"/>
          <w:highlight w:val="none"/>
          <w:lang w:eastAsia="zh-CN"/>
        </w:rPr>
      </w:pPr>
    </w:p>
    <w:p>
      <w:pPr>
        <w:widowControl w:val="0"/>
        <w:wordWrap w:val="0"/>
        <w:snapToGrid w:val="0"/>
        <w:spacing w:line="360" w:lineRule="auto"/>
        <w:rPr>
          <w:rFonts w:hint="eastAsia"/>
          <w:color w:val="000000"/>
          <w:highlight w:val="none"/>
        </w:rPr>
      </w:pPr>
      <w:r>
        <w:rPr>
          <w:rFonts w:hint="eastAsia"/>
          <w:color w:val="000000"/>
          <w:highlight w:val="none"/>
        </w:rPr>
        <w:t xml:space="preserve">                                            </w:t>
      </w:r>
    </w:p>
    <w:p>
      <w:pPr>
        <w:widowControl w:val="0"/>
        <w:wordWrap w:val="0"/>
        <w:snapToGrid w:val="0"/>
        <w:spacing w:line="360" w:lineRule="auto"/>
        <w:rPr>
          <w:rFonts w:hint="eastAsia" w:eastAsia="宋体"/>
          <w:color w:val="000000"/>
          <w:highlight w:val="none"/>
          <w:lang w:eastAsia="zh-CN"/>
        </w:rPr>
      </w:pPr>
      <w:r>
        <w:rPr>
          <w:rFonts w:hint="eastAsia"/>
          <w:color w:val="000000"/>
          <w:highlight w:val="none"/>
        </w:rPr>
        <w:t xml:space="preserve">                                              单位名称（盖章）：</w:t>
      </w:r>
    </w:p>
    <w:p>
      <w:pPr>
        <w:spacing w:line="400" w:lineRule="exact"/>
        <w:ind w:firstLine="630" w:firstLineChars="300"/>
        <w:rPr>
          <w:rFonts w:hint="eastAsia"/>
          <w:color w:val="000000"/>
          <w:highlight w:val="none"/>
        </w:rPr>
      </w:pPr>
      <w:r>
        <w:rPr>
          <w:rFonts w:hint="eastAsia"/>
          <w:color w:val="000000"/>
          <w:highlight w:val="none"/>
        </w:rPr>
        <w:t xml:space="preserve">                                              日 期：  年  月  日</w:t>
      </w:r>
    </w:p>
    <w:p>
      <w:pPr>
        <w:spacing w:line="400" w:lineRule="exact"/>
        <w:ind w:firstLine="630" w:firstLineChars="300"/>
        <w:rPr>
          <w:rFonts w:hint="eastAsia"/>
          <w:color w:val="000000"/>
          <w:highlight w:val="none"/>
        </w:rPr>
      </w:pPr>
    </w:p>
    <w:p>
      <w:pPr>
        <w:pStyle w:val="12"/>
        <w:rPr>
          <w:rFonts w:hint="eastAsia"/>
          <w:color w:val="000000"/>
        </w:rPr>
        <w:sectPr>
          <w:pgSz w:w="11906" w:h="16838"/>
          <w:pgMar w:top="1474" w:right="1797" w:bottom="1247" w:left="1797" w:header="851" w:footer="851" w:gutter="0"/>
          <w:pgBorders>
            <w:top w:val="none" w:sz="0" w:space="0"/>
            <w:left w:val="none" w:sz="0" w:space="0"/>
            <w:bottom w:val="none" w:sz="0" w:space="0"/>
            <w:right w:val="none" w:sz="0" w:space="0"/>
          </w:pgBorders>
          <w:cols w:space="720" w:num="1"/>
          <w:docGrid w:linePitch="312" w:charSpace="0"/>
        </w:sectPr>
      </w:pPr>
    </w:p>
    <w:p>
      <w:pPr>
        <w:snapToGrid w:val="0"/>
        <w:spacing w:line="360" w:lineRule="auto"/>
        <w:jc w:val="left"/>
        <w:rPr>
          <w:rFonts w:hint="eastAsia" w:ascii="宋体" w:hAnsi="宋体" w:cs="宋体"/>
          <w:b/>
          <w:szCs w:val="21"/>
        </w:rPr>
      </w:pPr>
      <w:r>
        <w:rPr>
          <w:rFonts w:hint="eastAsia" w:ascii="宋体" w:hAnsi="宋体" w:cs="宋体"/>
          <w:b/>
          <w:szCs w:val="21"/>
          <w:lang w:val="en-US" w:eastAsia="zh-CN"/>
        </w:rPr>
        <w:t>11</w:t>
      </w:r>
      <w:r>
        <w:rPr>
          <w:rFonts w:hint="eastAsia" w:ascii="宋体" w:hAnsi="宋体" w:cs="宋体"/>
          <w:b/>
          <w:szCs w:val="21"/>
        </w:rPr>
        <w:t>、项目实施人员一览表格式：</w:t>
      </w:r>
    </w:p>
    <w:p>
      <w:pPr>
        <w:snapToGrid w:val="0"/>
        <w:spacing w:line="360" w:lineRule="auto"/>
        <w:jc w:val="center"/>
        <w:rPr>
          <w:rFonts w:hint="eastAsia" w:ascii="宋体" w:hAnsi="宋体" w:cs="宋体"/>
          <w:b/>
          <w:szCs w:val="21"/>
        </w:rPr>
      </w:pPr>
      <w:r>
        <w:rPr>
          <w:rFonts w:hint="eastAsia" w:ascii="宋体" w:hAnsi="宋体" w:cs="宋体"/>
          <w:b/>
          <w:szCs w:val="21"/>
        </w:rPr>
        <w:t>项目实施人员（主要从业人员及其技术资格）一览表</w:t>
      </w:r>
    </w:p>
    <w:p>
      <w:pPr>
        <w:snapToGrid w:val="0"/>
        <w:spacing w:line="360" w:lineRule="auto"/>
        <w:rPr>
          <w:rFonts w:hint="eastAsia" w:ascii="宋体" w:hAnsi="宋体" w:cs="宋体"/>
          <w:szCs w:val="21"/>
        </w:rPr>
      </w:pPr>
      <w:r>
        <w:rPr>
          <w:rFonts w:hint="eastAsia" w:ascii="宋体" w:hAnsi="宋体" w:cs="宋体"/>
          <w:szCs w:val="21"/>
        </w:rPr>
        <w:t>标项：</w:t>
      </w:r>
      <w:r>
        <w:rPr>
          <w:rFonts w:hint="eastAsia" w:ascii="宋体" w:hAnsi="宋体" w:cs="宋体"/>
          <w:szCs w:val="21"/>
          <w:u w:val="single"/>
        </w:rPr>
        <w:t xml:space="preserve">              </w:t>
      </w:r>
    </w:p>
    <w:tbl>
      <w:tblPr>
        <w:tblStyle w:val="27"/>
        <w:tblW w:w="93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8"/>
        <w:gridCol w:w="1098"/>
        <w:gridCol w:w="1819"/>
        <w:gridCol w:w="1378"/>
        <w:gridCol w:w="1772"/>
        <w:gridCol w:w="2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1098"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hint="eastAsia" w:ascii="宋体" w:hAnsi="宋体" w:cs="宋体"/>
                <w:szCs w:val="21"/>
              </w:rPr>
            </w:pPr>
            <w:r>
              <w:rPr>
                <w:rFonts w:hint="eastAsia" w:ascii="宋体" w:hAnsi="宋体" w:cs="宋体"/>
                <w:szCs w:val="21"/>
              </w:rPr>
              <w:t>姓名</w:t>
            </w:r>
          </w:p>
        </w:tc>
        <w:tc>
          <w:tcPr>
            <w:tcW w:w="1098"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hint="eastAsia" w:ascii="宋体" w:hAnsi="宋体" w:cs="宋体"/>
                <w:szCs w:val="21"/>
              </w:rPr>
            </w:pPr>
            <w:r>
              <w:rPr>
                <w:rFonts w:hint="eastAsia" w:ascii="宋体" w:hAnsi="宋体" w:cs="宋体"/>
                <w:szCs w:val="21"/>
              </w:rPr>
              <w:t>职务</w:t>
            </w:r>
          </w:p>
        </w:tc>
        <w:tc>
          <w:tcPr>
            <w:tcW w:w="1819"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jc w:val="center"/>
              <w:rPr>
                <w:rFonts w:hint="eastAsia" w:ascii="宋体" w:hAnsi="宋体" w:cs="宋体"/>
                <w:szCs w:val="21"/>
              </w:rPr>
            </w:pPr>
            <w:r>
              <w:rPr>
                <w:rFonts w:hint="eastAsia" w:ascii="宋体" w:hAnsi="宋体" w:cs="宋体"/>
                <w:szCs w:val="21"/>
              </w:rPr>
              <w:t>专业技术资格</w:t>
            </w:r>
          </w:p>
        </w:tc>
        <w:tc>
          <w:tcPr>
            <w:tcW w:w="1378"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hint="eastAsia" w:ascii="宋体" w:hAnsi="宋体" w:cs="宋体"/>
                <w:szCs w:val="21"/>
              </w:rPr>
            </w:pPr>
            <w:r>
              <w:rPr>
                <w:rFonts w:hint="eastAsia" w:ascii="宋体" w:hAnsi="宋体" w:cs="宋体"/>
                <w:szCs w:val="21"/>
              </w:rPr>
              <w:t>证书编号</w:t>
            </w:r>
          </w:p>
        </w:tc>
        <w:tc>
          <w:tcPr>
            <w:tcW w:w="1772"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hint="eastAsia" w:ascii="宋体" w:hAnsi="宋体" w:cs="宋体"/>
                <w:bCs/>
                <w:szCs w:val="21"/>
              </w:rPr>
            </w:pPr>
            <w:r>
              <w:rPr>
                <w:rFonts w:hint="eastAsia" w:ascii="宋体" w:hAnsi="宋体" w:cs="宋体"/>
                <w:bCs/>
                <w:szCs w:val="21"/>
              </w:rPr>
              <w:t>参加本单位工作时间</w:t>
            </w:r>
          </w:p>
        </w:tc>
        <w:tc>
          <w:tcPr>
            <w:tcW w:w="2166"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rPr>
                <w:rFonts w:hint="eastAsia" w:ascii="宋体" w:hAnsi="宋体" w:cs="宋体"/>
                <w:bCs/>
                <w:szCs w:val="21"/>
              </w:rPr>
            </w:pPr>
            <w:r>
              <w:rPr>
                <w:rFonts w:hint="eastAsia" w:ascii="宋体" w:hAnsi="宋体" w:cs="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2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2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line="360" w:lineRule="auto"/>
              <w:ind w:left="5250"/>
              <w:rPr>
                <w:rFonts w:hint="eastAsia" w:ascii="宋体" w:hAnsi="宋体" w:cs="宋体"/>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2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2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2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2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2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2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c>
          <w:tcPr>
            <w:tcW w:w="2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szCs w:val="21"/>
              </w:rPr>
            </w:pPr>
          </w:p>
        </w:tc>
      </w:tr>
    </w:tbl>
    <w:p>
      <w:pPr>
        <w:snapToGrid w:val="0"/>
        <w:spacing w:line="360" w:lineRule="auto"/>
        <w:jc w:val="left"/>
        <w:rPr>
          <w:rFonts w:hint="eastAsia" w:ascii="宋体" w:hAnsi="宋体" w:cs="宋体"/>
          <w:szCs w:val="21"/>
        </w:rPr>
      </w:pPr>
      <w:r>
        <w:rPr>
          <w:rFonts w:hint="eastAsia" w:ascii="宋体" w:hAnsi="宋体" w:cs="宋体"/>
          <w:szCs w:val="21"/>
        </w:rPr>
        <w:t>注：在填写时，如本表格不适合投标单位的实际情况，可根据本表格式自行划表填写。</w:t>
      </w:r>
    </w:p>
    <w:p>
      <w:pPr>
        <w:snapToGrid w:val="0"/>
        <w:spacing w:line="360" w:lineRule="auto"/>
        <w:rPr>
          <w:rFonts w:hint="eastAsia" w:ascii="宋体" w:hAnsi="宋体" w:cs="宋体"/>
          <w:spacing w:val="20"/>
          <w:szCs w:val="21"/>
          <w:u w:val="single"/>
        </w:rPr>
      </w:pPr>
      <w:r>
        <w:rPr>
          <w:rFonts w:hint="eastAsia" w:ascii="宋体" w:hAnsi="宋体" w:cs="宋体"/>
          <w:spacing w:val="20"/>
          <w:szCs w:val="21"/>
        </w:rPr>
        <w:t>授权代表签名：</w:t>
      </w:r>
      <w:r>
        <w:rPr>
          <w:rFonts w:hint="eastAsia" w:ascii="宋体" w:hAnsi="宋体" w:cs="宋体"/>
          <w:spacing w:val="20"/>
          <w:szCs w:val="21"/>
          <w:u w:val="single"/>
        </w:rPr>
        <w:t xml:space="preserve">            </w:t>
      </w:r>
    </w:p>
    <w:p>
      <w:pPr>
        <w:snapToGrid w:val="0"/>
        <w:spacing w:line="360" w:lineRule="auto"/>
        <w:jc w:val="left"/>
        <w:rPr>
          <w:rFonts w:hint="eastAsia" w:ascii="宋体" w:hAnsi="宋体" w:cs="宋体"/>
          <w:spacing w:val="20"/>
          <w:szCs w:val="21"/>
          <w:u w:val="single"/>
        </w:rPr>
      </w:pPr>
      <w:r>
        <w:rPr>
          <w:rFonts w:hint="eastAsia" w:ascii="宋体" w:hAnsi="宋体" w:cs="宋体"/>
          <w:spacing w:val="20"/>
          <w:szCs w:val="21"/>
        </w:rPr>
        <w:t>投标人盖章：</w:t>
      </w:r>
      <w:r>
        <w:rPr>
          <w:rFonts w:hint="eastAsia" w:ascii="宋体" w:hAnsi="宋体" w:cs="宋体"/>
          <w:spacing w:val="20"/>
          <w:szCs w:val="21"/>
          <w:u w:val="single"/>
        </w:rPr>
        <w:t xml:space="preserve">            </w:t>
      </w:r>
      <w:r>
        <w:rPr>
          <w:rFonts w:hint="eastAsia" w:ascii="宋体" w:hAnsi="宋体" w:cs="宋体"/>
          <w:spacing w:val="20"/>
          <w:szCs w:val="21"/>
        </w:rPr>
        <w:t xml:space="preserve">             日  期：</w:t>
      </w:r>
      <w:r>
        <w:rPr>
          <w:rFonts w:hint="eastAsia" w:ascii="宋体" w:hAnsi="宋体" w:cs="宋体"/>
          <w:spacing w:val="20"/>
          <w:szCs w:val="21"/>
          <w:u w:val="single"/>
        </w:rPr>
        <w:t xml:space="preserve">        </w:t>
      </w:r>
    </w:p>
    <w:p>
      <w:pPr>
        <w:pStyle w:val="91"/>
        <w:spacing w:after="120" w:line="360" w:lineRule="auto"/>
        <w:ind w:firstLine="480"/>
        <w:rPr>
          <w:rFonts w:hint="eastAsia" w:hAnsi="宋体" w:eastAsia="宋体" w:cs="宋体"/>
          <w:b/>
          <w:sz w:val="21"/>
          <w:szCs w:val="21"/>
        </w:rPr>
      </w:pPr>
    </w:p>
    <w:p>
      <w:pPr>
        <w:pStyle w:val="91"/>
        <w:spacing w:after="120" w:line="360" w:lineRule="auto"/>
        <w:ind w:firstLine="480"/>
        <w:rPr>
          <w:rFonts w:hint="eastAsia" w:hAnsi="宋体" w:eastAsia="宋体" w:cs="宋体"/>
          <w:b/>
          <w:sz w:val="21"/>
          <w:szCs w:val="21"/>
        </w:rPr>
      </w:pPr>
    </w:p>
    <w:p>
      <w:pPr>
        <w:pStyle w:val="91"/>
        <w:spacing w:after="120" w:line="360" w:lineRule="auto"/>
        <w:ind w:firstLine="480"/>
        <w:rPr>
          <w:rFonts w:hint="eastAsia" w:hAnsi="宋体" w:eastAsia="宋体" w:cs="宋体"/>
          <w:b/>
          <w:sz w:val="21"/>
          <w:szCs w:val="21"/>
        </w:rPr>
      </w:pPr>
    </w:p>
    <w:p>
      <w:pPr>
        <w:pStyle w:val="91"/>
        <w:spacing w:after="120" w:line="360" w:lineRule="auto"/>
        <w:ind w:firstLine="480"/>
        <w:rPr>
          <w:rFonts w:hint="eastAsia" w:hAnsi="宋体" w:eastAsia="宋体" w:cs="宋体"/>
          <w:b/>
          <w:sz w:val="21"/>
          <w:szCs w:val="21"/>
        </w:rPr>
      </w:pPr>
    </w:p>
    <w:p>
      <w:pPr>
        <w:pStyle w:val="91"/>
        <w:spacing w:after="120" w:line="360" w:lineRule="auto"/>
        <w:ind w:firstLine="480"/>
        <w:rPr>
          <w:rFonts w:hint="eastAsia" w:hAnsi="宋体" w:eastAsia="宋体" w:cs="宋体"/>
          <w:b/>
          <w:sz w:val="21"/>
          <w:szCs w:val="21"/>
        </w:rPr>
      </w:pPr>
    </w:p>
    <w:p>
      <w:pPr>
        <w:pStyle w:val="91"/>
        <w:spacing w:after="120" w:line="360" w:lineRule="auto"/>
        <w:ind w:firstLine="480"/>
        <w:rPr>
          <w:rFonts w:hint="eastAsia" w:hAnsi="宋体" w:eastAsia="宋体" w:cs="宋体"/>
          <w:b/>
          <w:sz w:val="21"/>
          <w:szCs w:val="21"/>
        </w:rPr>
      </w:pPr>
    </w:p>
    <w:p>
      <w:pPr>
        <w:snapToGrid w:val="0"/>
        <w:spacing w:line="360" w:lineRule="auto"/>
        <w:jc w:val="left"/>
        <w:rPr>
          <w:rFonts w:hint="eastAsia" w:ascii="宋体" w:hAnsi="宋体" w:cs="宋体"/>
          <w:szCs w:val="21"/>
        </w:rPr>
      </w:pPr>
    </w:p>
    <w:p>
      <w:pPr>
        <w:snapToGrid w:val="0"/>
        <w:spacing w:line="360" w:lineRule="auto"/>
        <w:rPr>
          <w:rFonts w:hint="eastAsia" w:ascii="宋体" w:hAnsi="宋体" w:cs="宋体"/>
          <w:b/>
          <w:szCs w:val="21"/>
        </w:rPr>
      </w:pPr>
      <w:r>
        <w:rPr>
          <w:rFonts w:hint="eastAsia" w:ascii="宋体" w:hAnsi="宋体" w:cs="宋体"/>
          <w:b/>
          <w:szCs w:val="21"/>
        </w:rPr>
        <w:br w:type="page"/>
      </w:r>
      <w:r>
        <w:rPr>
          <w:rFonts w:hint="eastAsia" w:ascii="宋体" w:hAnsi="宋体" w:cs="宋体"/>
          <w:b/>
          <w:szCs w:val="21"/>
          <w:lang w:val="en-US" w:eastAsia="zh-CN"/>
        </w:rPr>
        <w:t>12、</w:t>
      </w:r>
      <w:r>
        <w:rPr>
          <w:rFonts w:hint="eastAsia" w:ascii="宋体" w:hAnsi="宋体" w:cs="宋体"/>
          <w:b/>
          <w:szCs w:val="21"/>
        </w:rPr>
        <w:t>投标函格式：</w:t>
      </w:r>
    </w:p>
    <w:p>
      <w:pPr>
        <w:snapToGrid w:val="0"/>
        <w:spacing w:line="360" w:lineRule="auto"/>
        <w:jc w:val="center"/>
        <w:rPr>
          <w:rFonts w:hint="eastAsia" w:ascii="宋体" w:hAnsi="宋体" w:cs="宋体"/>
          <w:b/>
          <w:szCs w:val="21"/>
        </w:rPr>
      </w:pPr>
      <w:r>
        <w:rPr>
          <w:rFonts w:hint="eastAsia" w:ascii="宋体" w:hAnsi="宋体" w:cs="宋体"/>
          <w:b/>
          <w:szCs w:val="21"/>
        </w:rPr>
        <w:t>投 标 函</w:t>
      </w:r>
    </w:p>
    <w:p>
      <w:pPr>
        <w:snapToGrid w:val="0"/>
        <w:spacing w:line="360" w:lineRule="auto"/>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（招标采购单位名称）：</w:t>
      </w:r>
    </w:p>
    <w:p>
      <w:pPr>
        <w:snapToGrid w:val="0"/>
        <w:spacing w:line="360" w:lineRule="auto"/>
        <w:ind w:firstLine="480"/>
        <w:rPr>
          <w:rFonts w:hint="eastAsia" w:ascii="宋体" w:hAnsi="宋体" w:cs="宋体"/>
          <w:szCs w:val="21"/>
        </w:rPr>
      </w:pPr>
      <w:r>
        <w:rPr>
          <w:rFonts w:hint="eastAsia" w:ascii="宋体" w:hAnsi="宋体" w:cs="宋体"/>
          <w:szCs w:val="21"/>
        </w:rPr>
        <w:t>根据贵方为</w:t>
      </w:r>
      <w:r>
        <w:rPr>
          <w:rFonts w:hint="eastAsia" w:ascii="宋体" w:hAnsi="宋体" w:cs="宋体"/>
          <w:szCs w:val="21"/>
          <w:u w:val="single"/>
        </w:rPr>
        <w:t xml:space="preserve">                             </w:t>
      </w:r>
      <w:r>
        <w:rPr>
          <w:rFonts w:hint="eastAsia" w:ascii="宋体" w:hAnsi="宋体" w:cs="宋体"/>
          <w:szCs w:val="21"/>
        </w:rPr>
        <w:t>项目的招标公告/投标邀请书</w:t>
      </w:r>
    </w:p>
    <w:p>
      <w:pPr>
        <w:snapToGrid w:val="0"/>
        <w:spacing w:line="360" w:lineRule="auto"/>
        <w:rPr>
          <w:rFonts w:hint="eastAsia"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），签字代表</w:t>
      </w:r>
      <w:r>
        <w:rPr>
          <w:rFonts w:hint="eastAsia" w:ascii="宋体" w:hAnsi="宋体" w:cs="宋体"/>
          <w:szCs w:val="21"/>
          <w:u w:val="single"/>
        </w:rPr>
        <w:t xml:space="preserve">         </w:t>
      </w:r>
      <w:r>
        <w:rPr>
          <w:rFonts w:hint="eastAsia" w:ascii="宋体" w:hAnsi="宋体" w:cs="宋体"/>
          <w:szCs w:val="21"/>
        </w:rPr>
        <w:t>（全名）经正式授权并代表投标人</w:t>
      </w:r>
      <w:r>
        <w:rPr>
          <w:rFonts w:hint="eastAsia" w:ascii="宋体" w:hAnsi="宋体" w:cs="宋体"/>
          <w:szCs w:val="21"/>
          <w:u w:val="single"/>
        </w:rPr>
        <w:t xml:space="preserve">            </w:t>
      </w:r>
      <w:r>
        <w:rPr>
          <w:rFonts w:hint="eastAsia" w:ascii="宋体" w:hAnsi="宋体" w:cs="宋体"/>
          <w:szCs w:val="21"/>
        </w:rPr>
        <w:t>（投标人名称）提交资信商务及技术文件、报价文件正本各一份、副本</w:t>
      </w:r>
      <w:r>
        <w:rPr>
          <w:rFonts w:hint="eastAsia" w:ascii="宋体" w:hAnsi="宋体" w:cs="宋体"/>
          <w:szCs w:val="21"/>
          <w:u w:val="single"/>
        </w:rPr>
        <w:t xml:space="preserve">      </w:t>
      </w:r>
      <w:r>
        <w:rPr>
          <w:rFonts w:hint="eastAsia" w:ascii="宋体" w:hAnsi="宋体" w:cs="宋体"/>
          <w:szCs w:val="21"/>
        </w:rPr>
        <w:t>份。</w:t>
      </w:r>
    </w:p>
    <w:p>
      <w:pPr>
        <w:snapToGrid w:val="0"/>
        <w:spacing w:line="360" w:lineRule="auto"/>
        <w:ind w:firstLine="420" w:firstLineChars="200"/>
        <w:rPr>
          <w:rFonts w:hint="eastAsia" w:ascii="宋体" w:hAnsi="宋体" w:cs="宋体"/>
          <w:szCs w:val="21"/>
        </w:rPr>
      </w:pPr>
      <w:r>
        <w:rPr>
          <w:rFonts w:hint="eastAsia" w:ascii="宋体" w:hAnsi="宋体" w:cs="宋体"/>
          <w:szCs w:val="21"/>
        </w:rPr>
        <w:t>据此函，签字代表宣布同意如下：</w:t>
      </w:r>
    </w:p>
    <w:p>
      <w:pPr>
        <w:snapToGrid w:val="0"/>
        <w:spacing w:line="360" w:lineRule="auto"/>
        <w:ind w:firstLine="420" w:firstLineChars="200"/>
        <w:rPr>
          <w:rFonts w:hint="eastAsia" w:ascii="宋体" w:hAnsi="宋体" w:cs="宋体"/>
          <w:szCs w:val="21"/>
        </w:rPr>
      </w:pPr>
      <w:r>
        <w:rPr>
          <w:rFonts w:hint="eastAsia" w:ascii="宋体" w:hAnsi="宋体" w:cs="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hint="eastAsia" w:ascii="宋体" w:hAnsi="宋体" w:cs="宋体"/>
          <w:szCs w:val="21"/>
        </w:rPr>
      </w:pPr>
      <w:r>
        <w:rPr>
          <w:rFonts w:hint="eastAsia" w:ascii="宋体" w:hAnsi="宋体" w:cs="宋体"/>
          <w:szCs w:val="21"/>
        </w:rPr>
        <w:t>2.投标人在投标之前已经与贵方进行了充分的沟通，完全理解并接受招标文件的各项规定和要求，对招标文件的合理性、合法性不再有异议。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hint="eastAsia" w:ascii="宋体" w:hAnsi="宋体" w:cs="宋体"/>
          <w:szCs w:val="21"/>
        </w:rPr>
      </w:pPr>
      <w:r>
        <w:rPr>
          <w:rFonts w:hint="eastAsia" w:ascii="宋体" w:hAnsi="宋体" w:cs="宋体"/>
          <w:szCs w:val="21"/>
        </w:rPr>
        <w:t xml:space="preserve">3.本投标有效期自开标日起 </w:t>
      </w:r>
      <w:r>
        <w:rPr>
          <w:rFonts w:hint="eastAsia" w:ascii="宋体" w:hAnsi="宋体" w:cs="宋体"/>
          <w:szCs w:val="21"/>
          <w:u w:val="single"/>
        </w:rPr>
        <w:t xml:space="preserve">      </w:t>
      </w:r>
      <w:r>
        <w:rPr>
          <w:rFonts w:hint="eastAsia" w:ascii="宋体" w:hAnsi="宋体" w:cs="宋体"/>
          <w:szCs w:val="21"/>
        </w:rPr>
        <w:t>个日。</w:t>
      </w:r>
    </w:p>
    <w:p>
      <w:pPr>
        <w:snapToGrid w:val="0"/>
        <w:spacing w:line="360" w:lineRule="auto"/>
        <w:ind w:firstLine="420" w:firstLineChars="200"/>
        <w:rPr>
          <w:rFonts w:hint="eastAsia" w:ascii="宋体" w:hAnsi="宋体" w:cs="宋体"/>
          <w:szCs w:val="21"/>
        </w:rPr>
      </w:pPr>
      <w:r>
        <w:rPr>
          <w:rFonts w:hint="eastAsia" w:ascii="宋体" w:hAnsi="宋体" w:cs="宋体"/>
          <w:szCs w:val="21"/>
        </w:rPr>
        <w:t>4.如中标，本投标文件至本项目合同履行完毕止均保持有效，本投标人将按“招标文件”及政府采购法律、法规的规定履行合同责任和义务。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hint="eastAsia" w:ascii="宋体" w:hAnsi="宋体" w:cs="宋体"/>
          <w:szCs w:val="21"/>
        </w:rPr>
      </w:pPr>
      <w:r>
        <w:rPr>
          <w:rFonts w:hint="eastAsia" w:ascii="宋体" w:hAnsi="宋体" w:cs="宋体"/>
          <w:szCs w:val="21"/>
        </w:rPr>
        <w:t>5.投标人同意按照贵方要求提供与投标有关的一切数据或资料。</w:t>
      </w:r>
    </w:p>
    <w:p>
      <w:pPr>
        <w:snapToGrid w:val="0"/>
        <w:spacing w:line="360" w:lineRule="auto"/>
        <w:ind w:firstLine="420" w:firstLineChars="200"/>
        <w:rPr>
          <w:rFonts w:hint="eastAsia" w:ascii="宋体" w:hAnsi="宋体" w:cs="宋体"/>
          <w:szCs w:val="21"/>
        </w:rPr>
      </w:pPr>
      <w:r>
        <w:rPr>
          <w:rFonts w:hint="eastAsia" w:ascii="宋体" w:hAnsi="宋体" w:cs="宋体"/>
          <w:szCs w:val="21"/>
        </w:rPr>
        <w:t>6.与本投标有关的一切正式往来信函请寄：</w:t>
      </w:r>
    </w:p>
    <w:p>
      <w:pPr>
        <w:snapToGrid w:val="0"/>
        <w:spacing w:line="360" w:lineRule="auto"/>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邮编：</w:t>
      </w:r>
      <w:r>
        <w:rPr>
          <w:rFonts w:hint="eastAsia" w:ascii="宋体" w:hAnsi="宋体" w:cs="宋体"/>
          <w:szCs w:val="21"/>
          <w:u w:val="single"/>
        </w:rPr>
        <w:t xml:space="preserve">         </w:t>
      </w:r>
      <w:r>
        <w:rPr>
          <w:rFonts w:hint="eastAsia" w:ascii="宋体" w:hAnsi="宋体" w:cs="宋体"/>
          <w:szCs w:val="21"/>
        </w:rPr>
        <w:t xml:space="preserve">   电话：______________</w:t>
      </w:r>
    </w:p>
    <w:p>
      <w:pPr>
        <w:snapToGrid w:val="0"/>
        <w:spacing w:line="360" w:lineRule="auto"/>
        <w:rPr>
          <w:rFonts w:hint="eastAsia" w:ascii="宋体" w:hAnsi="宋体" w:cs="宋体"/>
          <w:szCs w:val="21"/>
        </w:rPr>
      </w:pPr>
      <w:r>
        <w:rPr>
          <w:rFonts w:hint="eastAsia" w:ascii="宋体" w:hAnsi="宋体" w:cs="宋体"/>
          <w:szCs w:val="21"/>
        </w:rPr>
        <w:t xml:space="preserve">传真：______________投标人代表姓名 ___________  职务：_________  </w:t>
      </w:r>
    </w:p>
    <w:p>
      <w:pPr>
        <w:snapToGrid w:val="0"/>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投标人名称(公章):___________________</w:t>
      </w:r>
    </w:p>
    <w:p>
      <w:pPr>
        <w:snapToGrid w:val="0"/>
        <w:spacing w:line="360" w:lineRule="auto"/>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银行帐号：</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jc w:val="center"/>
        <w:rPr>
          <w:rFonts w:hint="eastAsia" w:ascii="宋体" w:hAnsi="宋体" w:cs="宋体"/>
          <w:szCs w:val="21"/>
        </w:rPr>
      </w:pPr>
    </w:p>
    <w:p>
      <w:pPr>
        <w:snapToGrid w:val="0"/>
        <w:spacing w:line="360" w:lineRule="auto"/>
        <w:jc w:val="center"/>
        <w:rPr>
          <w:rFonts w:hint="eastAsia" w:ascii="宋体" w:hAnsi="宋体" w:cs="宋体"/>
          <w:szCs w:val="21"/>
        </w:rPr>
      </w:pPr>
    </w:p>
    <w:p>
      <w:pPr>
        <w:snapToGrid w:val="0"/>
        <w:spacing w:line="360" w:lineRule="auto"/>
        <w:jc w:val="center"/>
        <w:rPr>
          <w:rFonts w:hint="eastAsia" w:ascii="宋体" w:hAnsi="宋体" w:cs="宋体"/>
          <w:szCs w:val="21"/>
        </w:rPr>
      </w:pPr>
      <w:r>
        <w:rPr>
          <w:rFonts w:hint="eastAsia" w:ascii="宋体" w:hAnsi="宋体" w:cs="宋体"/>
          <w:szCs w:val="21"/>
        </w:rPr>
        <w:t>授权代表签字:___________                      日期:_____年___月___日</w:t>
      </w: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ind w:left="420" w:leftChars="200"/>
        <w:rPr>
          <w:rFonts w:hint="eastAsia" w:ascii="宋体" w:hAnsi="宋体" w:cs="宋体"/>
          <w:b/>
          <w:szCs w:val="21"/>
        </w:rPr>
      </w:pPr>
      <w:r>
        <w:rPr>
          <w:rFonts w:hint="eastAsia" w:ascii="宋体" w:hAnsi="宋体" w:cs="宋体"/>
          <w:b/>
          <w:szCs w:val="21"/>
        </w:rPr>
        <w:br w:type="page"/>
      </w:r>
      <w:r>
        <w:rPr>
          <w:rFonts w:hint="eastAsia" w:ascii="宋体" w:hAnsi="宋体" w:cs="宋体"/>
          <w:b/>
          <w:szCs w:val="21"/>
          <w:lang w:val="en-US" w:eastAsia="zh-CN"/>
        </w:rPr>
        <w:t>13</w:t>
      </w:r>
      <w:r>
        <w:rPr>
          <w:rFonts w:hint="eastAsia" w:ascii="宋体" w:hAnsi="宋体" w:cs="宋体"/>
          <w:b/>
          <w:szCs w:val="21"/>
        </w:rPr>
        <w:t>、开标一览表</w:t>
      </w:r>
    </w:p>
    <w:p>
      <w:pPr>
        <w:adjustRightInd w:val="0"/>
        <w:spacing w:line="360" w:lineRule="auto"/>
        <w:ind w:firstLine="1260" w:firstLineChars="600"/>
        <w:jc w:val="right"/>
        <w:rPr>
          <w:rFonts w:hint="eastAsia" w:ascii="宋体" w:hAnsi="宋体" w:cs="宋体"/>
          <w:bCs/>
          <w:szCs w:val="21"/>
        </w:rPr>
      </w:pPr>
      <w:r>
        <w:rPr>
          <w:rFonts w:hint="eastAsia" w:ascii="宋体" w:hAnsi="宋体" w:cs="宋体"/>
          <w:szCs w:val="21"/>
        </w:rPr>
        <w:t xml:space="preserve">     报价单位：</w:t>
      </w:r>
      <w:r>
        <w:rPr>
          <w:rFonts w:hint="eastAsia" w:ascii="宋体" w:hAnsi="宋体" w:cs="宋体"/>
          <w:bCs/>
          <w:szCs w:val="21"/>
        </w:rPr>
        <w:t>元人民币</w:t>
      </w:r>
    </w:p>
    <w:tbl>
      <w:tblPr>
        <w:tblStyle w:val="27"/>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309"/>
        <w:gridCol w:w="1035"/>
        <w:gridCol w:w="899"/>
        <w:gridCol w:w="986"/>
        <w:gridCol w:w="2134"/>
        <w:gridCol w:w="175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1243"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cs="宋体"/>
                <w:bCs/>
                <w:szCs w:val="21"/>
              </w:rPr>
            </w:pPr>
            <w:bookmarkStart w:id="43" w:name="OLE_LINK9"/>
            <w:r>
              <w:rPr>
                <w:rFonts w:hint="eastAsia" w:ascii="宋体" w:hAnsi="宋体" w:cs="宋体"/>
                <w:bCs/>
                <w:szCs w:val="21"/>
              </w:rPr>
              <w:t>序号</w:t>
            </w:r>
          </w:p>
        </w:tc>
        <w:tc>
          <w:tcPr>
            <w:tcW w:w="3344" w:type="dxa"/>
            <w:gridSpan w:val="2"/>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left"/>
              <w:rPr>
                <w:rFonts w:hint="eastAsia" w:ascii="宋体" w:hAnsi="宋体" w:cs="宋体"/>
                <w:bCs/>
                <w:szCs w:val="21"/>
              </w:rPr>
            </w:pPr>
            <w:r>
              <w:rPr>
                <w:rFonts w:hint="eastAsia" w:ascii="宋体" w:hAnsi="宋体" w:cs="宋体"/>
                <w:bCs/>
                <w:szCs w:val="21"/>
              </w:rPr>
              <w:t>项目</w:t>
            </w:r>
          </w:p>
        </w:tc>
        <w:tc>
          <w:tcPr>
            <w:tcW w:w="899"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left"/>
              <w:rPr>
                <w:rFonts w:hint="eastAsia" w:ascii="宋体" w:hAnsi="宋体" w:cs="宋体"/>
                <w:bCs/>
                <w:szCs w:val="21"/>
              </w:rPr>
            </w:pPr>
            <w:r>
              <w:rPr>
                <w:rFonts w:hint="eastAsia" w:ascii="宋体" w:hAnsi="宋体" w:cs="宋体"/>
                <w:bCs/>
                <w:szCs w:val="21"/>
              </w:rPr>
              <w:t>单位</w:t>
            </w:r>
          </w:p>
        </w:tc>
        <w:tc>
          <w:tcPr>
            <w:tcW w:w="986"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left"/>
              <w:rPr>
                <w:rFonts w:hint="eastAsia" w:ascii="宋体" w:hAnsi="宋体" w:cs="宋体"/>
                <w:bCs/>
                <w:szCs w:val="21"/>
              </w:rPr>
            </w:pPr>
            <w:r>
              <w:rPr>
                <w:rFonts w:hint="eastAsia" w:ascii="宋体" w:hAnsi="宋体" w:cs="宋体"/>
                <w:bCs/>
                <w:szCs w:val="21"/>
              </w:rPr>
              <w:t>数量</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left"/>
              <w:rPr>
                <w:rFonts w:hint="eastAsia" w:ascii="宋体" w:hAnsi="宋体" w:eastAsia="宋体" w:cs="宋体"/>
                <w:bCs/>
                <w:szCs w:val="21"/>
                <w:lang w:eastAsia="zh-CN"/>
              </w:rPr>
            </w:pPr>
            <w:r>
              <w:rPr>
                <w:rFonts w:hint="eastAsia" w:ascii="宋体" w:hAnsi="宋体" w:cs="宋体"/>
                <w:bCs/>
                <w:szCs w:val="21"/>
                <w:lang w:eastAsia="zh-CN"/>
              </w:rPr>
              <w:t>单价（元</w:t>
            </w:r>
            <w:r>
              <w:rPr>
                <w:rFonts w:hint="eastAsia" w:ascii="宋体" w:hAnsi="宋体" w:cs="宋体"/>
                <w:bCs/>
                <w:szCs w:val="21"/>
                <w:lang w:val="en-US" w:eastAsia="zh-CN"/>
              </w:rPr>
              <w:t>/年</w:t>
            </w:r>
            <w:r>
              <w:rPr>
                <w:rFonts w:hint="eastAsia" w:ascii="宋体" w:hAnsi="宋体" w:cs="宋体"/>
                <w:bCs/>
                <w:szCs w:val="21"/>
                <w:lang w:eastAsia="zh-CN"/>
              </w:rPr>
              <w:t>）</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eastAsia="宋体" w:cs="宋体"/>
                <w:szCs w:val="21"/>
                <w:lang w:eastAsia="zh-CN"/>
              </w:rPr>
            </w:pPr>
            <w:r>
              <w:rPr>
                <w:rFonts w:hint="eastAsia" w:ascii="宋体" w:hAnsi="宋体" w:cs="宋体"/>
                <w:szCs w:val="21"/>
                <w:lang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598"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cs="宋体"/>
                <w:szCs w:val="21"/>
              </w:rPr>
            </w:pPr>
            <w:r>
              <w:rPr>
                <w:rFonts w:hint="eastAsia" w:ascii="宋体" w:hAnsi="宋体" w:cs="宋体"/>
                <w:szCs w:val="21"/>
              </w:rPr>
              <w:t>1</w:t>
            </w:r>
          </w:p>
        </w:tc>
        <w:tc>
          <w:tcPr>
            <w:tcW w:w="2309" w:type="dxa"/>
            <w:vMerge w:val="restart"/>
            <w:tcBorders>
              <w:top w:val="single" w:color="auto" w:sz="4" w:space="0"/>
              <w:left w:val="single" w:color="auto" w:sz="4" w:space="0"/>
              <w:right w:val="single" w:color="auto" w:sz="4" w:space="0"/>
            </w:tcBorders>
            <w:noWrap w:val="0"/>
            <w:vAlign w:val="center"/>
          </w:tcPr>
          <w:p>
            <w:pPr>
              <w:spacing w:before="50" w:line="360" w:lineRule="auto"/>
              <w:jc w:val="left"/>
              <w:rPr>
                <w:rFonts w:hint="eastAsia" w:ascii="宋体" w:hAnsi="宋体" w:eastAsia="宋体" w:cs="宋体"/>
                <w:b/>
                <w:bCs/>
                <w:szCs w:val="21"/>
                <w:lang w:eastAsia="zh-CN"/>
              </w:rPr>
            </w:pPr>
            <w:r>
              <w:rPr>
                <w:rFonts w:hint="eastAsia" w:ascii="宋体" w:hAnsi="宋体" w:cs="宋体"/>
                <w:bCs/>
                <w:lang w:eastAsia="zh-CN"/>
              </w:rPr>
              <w:t>2024年西塘桥街道公共环境病媒生物防治服务</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left"/>
              <w:rPr>
                <w:rFonts w:hint="eastAsia" w:ascii="宋体" w:hAnsi="宋体" w:cs="宋体"/>
                <w:bCs/>
                <w:lang w:eastAsia="zh-CN"/>
              </w:rPr>
            </w:pPr>
            <w:r>
              <w:rPr>
                <w:rFonts w:hint="eastAsia" w:ascii="宋体" w:hAnsi="宋体" w:cs="宋体"/>
                <w:bCs/>
                <w:lang w:eastAsia="zh-CN"/>
              </w:rPr>
              <w:t>消杀</w:t>
            </w:r>
          </w:p>
        </w:tc>
        <w:tc>
          <w:tcPr>
            <w:tcW w:w="899"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eastAsia="宋体" w:cs="宋体"/>
                <w:b w:val="0"/>
                <w:bCs w:val="0"/>
                <w:szCs w:val="21"/>
                <w:lang w:eastAsia="zh-CN"/>
              </w:rPr>
            </w:pPr>
            <w:r>
              <w:rPr>
                <w:rFonts w:hint="eastAsia" w:ascii="宋体" w:hAnsi="宋体" w:cs="宋体"/>
                <w:b w:val="0"/>
                <w:bCs w:val="0"/>
                <w:szCs w:val="21"/>
                <w:lang w:eastAsia="zh-CN"/>
              </w:rPr>
              <w:t>项</w:t>
            </w:r>
          </w:p>
        </w:tc>
        <w:tc>
          <w:tcPr>
            <w:tcW w:w="986"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cs="宋体"/>
                <w:b w:val="0"/>
                <w:bCs w:val="0"/>
                <w:szCs w:val="21"/>
                <w:lang w:val="en-US" w:eastAsia="zh-CN"/>
              </w:rPr>
            </w:pPr>
            <w:r>
              <w:rPr>
                <w:rFonts w:hint="eastAsia" w:ascii="宋体" w:hAnsi="宋体" w:cs="宋体"/>
                <w:b w:val="0"/>
                <w:bCs w:val="0"/>
                <w:szCs w:val="21"/>
                <w:lang w:val="en-US" w:eastAsia="zh-CN"/>
              </w:rPr>
              <w:t>1</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eastAsia="宋体" w:cs="宋体"/>
                <w:b w:val="0"/>
                <w:bCs w:val="0"/>
                <w:szCs w:val="21"/>
                <w:lang w:eastAsia="zh-CN"/>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620"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309" w:type="dxa"/>
            <w:vMerge w:val="continue"/>
            <w:tcBorders>
              <w:left w:val="single" w:color="auto" w:sz="4" w:space="0"/>
              <w:bottom w:val="single" w:color="auto" w:sz="4" w:space="0"/>
              <w:right w:val="single" w:color="auto" w:sz="4" w:space="0"/>
            </w:tcBorders>
            <w:noWrap w:val="0"/>
            <w:vAlign w:val="center"/>
          </w:tcPr>
          <w:p>
            <w:pPr>
              <w:spacing w:before="50" w:line="360" w:lineRule="auto"/>
              <w:jc w:val="left"/>
              <w:rPr>
                <w:rFonts w:hint="eastAsia" w:ascii="宋体" w:hAnsi="宋体" w:cs="宋体"/>
                <w:bCs/>
                <w:lang w:eastAsia="zh-CN"/>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left"/>
              <w:rPr>
                <w:rFonts w:hint="eastAsia" w:ascii="宋体" w:hAnsi="宋体" w:cs="宋体"/>
                <w:bCs/>
                <w:lang w:eastAsia="zh-CN"/>
              </w:rPr>
            </w:pPr>
            <w:r>
              <w:rPr>
                <w:rFonts w:hint="eastAsia" w:ascii="宋体" w:hAnsi="宋体" w:cs="宋体"/>
                <w:bCs/>
                <w:lang w:eastAsia="zh-CN"/>
              </w:rPr>
              <w:t>设备</w:t>
            </w:r>
          </w:p>
        </w:tc>
        <w:tc>
          <w:tcPr>
            <w:tcW w:w="899"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cs="宋体"/>
                <w:b w:val="0"/>
                <w:bCs w:val="0"/>
                <w:szCs w:val="21"/>
                <w:lang w:eastAsia="zh-CN"/>
              </w:rPr>
            </w:pPr>
            <w:r>
              <w:rPr>
                <w:rFonts w:hint="eastAsia" w:ascii="宋体" w:hAnsi="宋体" w:cs="宋体"/>
                <w:b w:val="0"/>
                <w:bCs w:val="0"/>
                <w:szCs w:val="21"/>
                <w:lang w:eastAsia="zh-CN"/>
              </w:rPr>
              <w:t>项</w:t>
            </w:r>
          </w:p>
        </w:tc>
        <w:tc>
          <w:tcPr>
            <w:tcW w:w="986"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cs="宋体"/>
                <w:b w:val="0"/>
                <w:bCs w:val="0"/>
                <w:szCs w:val="21"/>
                <w:lang w:val="en-US" w:eastAsia="zh-CN"/>
              </w:rPr>
            </w:pPr>
            <w:r>
              <w:rPr>
                <w:rFonts w:hint="eastAsia" w:ascii="宋体" w:hAnsi="宋体" w:cs="宋体"/>
                <w:b w:val="0"/>
                <w:bCs w:val="0"/>
                <w:szCs w:val="21"/>
                <w:lang w:val="en-US" w:eastAsia="zh-CN"/>
              </w:rPr>
              <w:t>1</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eastAsia="宋体" w:cs="宋体"/>
                <w:b w:val="0"/>
                <w:bCs w:val="0"/>
                <w:szCs w:val="21"/>
                <w:lang w:eastAsia="zh-CN"/>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hint="eastAsia" w:ascii="宋体" w:hAnsi="宋体" w:cs="宋体"/>
                <w:bCs/>
                <w:szCs w:val="21"/>
              </w:rPr>
            </w:pPr>
            <w:r>
              <w:rPr>
                <w:rFonts w:hint="eastAsia" w:ascii="宋体" w:hAnsi="宋体" w:cs="宋体"/>
                <w:bCs/>
                <w:szCs w:val="21"/>
              </w:rPr>
              <w:t>总计</w:t>
            </w:r>
          </w:p>
        </w:tc>
        <w:tc>
          <w:tcPr>
            <w:tcW w:w="9119" w:type="dxa"/>
            <w:gridSpan w:val="7"/>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left"/>
              <w:rPr>
                <w:rFonts w:hint="eastAsia" w:ascii="宋体" w:hAnsi="宋体" w:cs="宋体"/>
                <w:szCs w:val="21"/>
              </w:rPr>
            </w:pPr>
            <w:r>
              <w:rPr>
                <w:rFonts w:hint="eastAsia" w:ascii="宋体" w:hAnsi="宋体" w:cs="宋体"/>
                <w:szCs w:val="21"/>
              </w:rPr>
              <w:t>大写：人民币                                         小写：</w:t>
            </w:r>
          </w:p>
        </w:tc>
      </w:tr>
      <w:bookmarkEnd w:id="43"/>
    </w:tbl>
    <w:p>
      <w:pPr>
        <w:snapToGrid w:val="0"/>
        <w:spacing w:line="360" w:lineRule="auto"/>
        <w:ind w:left="420" w:leftChars="200"/>
        <w:jc w:val="left"/>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auto"/>
        <w:rPr>
          <w:rFonts w:hint="eastAsia"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auto"/>
        <w:rPr>
          <w:rFonts w:hint="eastAsia" w:ascii="宋体" w:hAnsi="宋体" w:cs="宋体"/>
          <w:szCs w:val="21"/>
        </w:rPr>
      </w:pPr>
      <w:r>
        <w:rPr>
          <w:rFonts w:hint="eastAsia" w:ascii="宋体" w:hAnsi="宋体" w:cs="宋体"/>
          <w:szCs w:val="21"/>
        </w:rPr>
        <w:t>2、▲报价应包括人工工资、机械设备、水费、电费、保险、税金、利润、项目报告的各项费用及成果鉴定验收会议发生的费用等为完成本项目所需的一切费用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817" w:rightChars="-389" w:firstLine="420" w:firstLineChars="200"/>
        <w:textAlignment w:val="auto"/>
        <w:rPr>
          <w:rFonts w:hint="eastAsia" w:ascii="宋体" w:hAnsi="宋体" w:cs="宋体"/>
          <w:szCs w:val="21"/>
        </w:rPr>
      </w:pPr>
      <w:r>
        <w:rPr>
          <w:rFonts w:hint="eastAsia" w:ascii="宋体" w:hAnsi="宋体" w:cs="宋体"/>
          <w:szCs w:val="21"/>
        </w:rPr>
        <w:t>3、▲以上报价不得超过上限价，任何超过上限价的报价均导致投标被否决。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817" w:rightChars="-389" w:firstLine="420" w:firstLineChars="200"/>
        <w:textAlignment w:val="auto"/>
        <w:rPr>
          <w:rFonts w:hint="eastAsia" w:eastAsia="宋体"/>
          <w:lang w:val="en-US" w:eastAsia="zh-CN"/>
        </w:rPr>
      </w:pPr>
      <w:r>
        <w:rPr>
          <w:rFonts w:hint="eastAsia" w:ascii="宋体" w:hAnsi="宋体" w:cs="宋体"/>
          <w:szCs w:val="21"/>
          <w:lang w:val="en-US" w:eastAsia="zh-CN"/>
        </w:rPr>
        <w:t>4、最终报价与开标一览表不一致时，单价按照同比例修正。</w:t>
      </w:r>
    </w:p>
    <w:p>
      <w:pPr>
        <w:snapToGrid w:val="0"/>
        <w:spacing w:line="360" w:lineRule="auto"/>
        <w:ind w:left="420" w:leftChars="200" w:right="-817" w:rightChars="-389"/>
        <w:jc w:val="left"/>
        <w:rPr>
          <w:rFonts w:hint="eastAsia" w:ascii="宋体" w:hAnsi="宋体" w:cs="宋体"/>
          <w:szCs w:val="21"/>
        </w:rPr>
      </w:pPr>
    </w:p>
    <w:p>
      <w:pPr>
        <w:snapToGrid w:val="0"/>
        <w:spacing w:line="360" w:lineRule="auto"/>
        <w:ind w:left="420" w:leftChars="200" w:right="-817" w:rightChars="-389"/>
        <w:jc w:val="left"/>
        <w:rPr>
          <w:rFonts w:hint="eastAsia" w:ascii="宋体" w:hAnsi="宋体" w:cs="宋体"/>
          <w:szCs w:val="21"/>
        </w:rPr>
      </w:pPr>
      <w:r>
        <w:rPr>
          <w:rFonts w:hint="eastAsia" w:ascii="宋体" w:hAnsi="宋体" w:cs="宋体"/>
          <w:szCs w:val="21"/>
        </w:rPr>
        <w:t xml:space="preserve">法定代表人或授权代表（签字或盖章）： </w:t>
      </w:r>
    </w:p>
    <w:p>
      <w:pPr>
        <w:snapToGrid w:val="0"/>
        <w:spacing w:line="360" w:lineRule="auto"/>
        <w:ind w:left="420" w:leftChars="200" w:right="-817" w:rightChars="-389"/>
        <w:jc w:val="left"/>
        <w:rPr>
          <w:rFonts w:hint="eastAsia" w:ascii="宋体" w:hAnsi="宋体" w:cs="宋体"/>
          <w:szCs w:val="21"/>
        </w:rPr>
      </w:pPr>
      <w:r>
        <w:rPr>
          <w:rFonts w:hint="eastAsia" w:ascii="宋体" w:hAnsi="宋体" w:cs="宋体"/>
          <w:szCs w:val="21"/>
        </w:rPr>
        <w:t xml:space="preserve">投标人名称（盖章）：                                          </w:t>
      </w:r>
    </w:p>
    <w:p>
      <w:pPr>
        <w:snapToGrid w:val="0"/>
        <w:spacing w:line="360" w:lineRule="auto"/>
        <w:ind w:left="420" w:leftChars="200"/>
        <w:jc w:val="center"/>
        <w:rPr>
          <w:rFonts w:hint="eastAsia" w:ascii="宋体" w:hAnsi="宋体" w:cs="宋体"/>
          <w:szCs w:val="21"/>
        </w:rPr>
      </w:pPr>
    </w:p>
    <w:p>
      <w:pPr>
        <w:snapToGrid w:val="0"/>
        <w:spacing w:line="360" w:lineRule="auto"/>
        <w:ind w:left="420" w:leftChars="200"/>
        <w:jc w:val="right"/>
        <w:rPr>
          <w:rFonts w:hint="eastAsia" w:ascii="宋体" w:hAnsi="宋体" w:cs="宋体"/>
          <w:szCs w:val="21"/>
        </w:rPr>
      </w:pPr>
      <w:r>
        <w:rPr>
          <w:rFonts w:hint="eastAsia" w:ascii="宋体" w:hAnsi="宋体" w:cs="宋体"/>
          <w:szCs w:val="21"/>
        </w:rPr>
        <w:t xml:space="preserve">  日期：    年   月   日</w:t>
      </w:r>
    </w:p>
    <w:p>
      <w:pPr>
        <w:outlineLvl w:val="9"/>
        <w:rPr>
          <w:rFonts w:hint="eastAsia" w:ascii="宋体" w:hAnsi="宋体" w:eastAsia="宋体" w:cs="宋体"/>
        </w:rPr>
      </w:pPr>
      <w:bookmarkStart w:id="44" w:name="_Toc28809"/>
      <w:bookmarkStart w:id="45" w:name="_Toc3477"/>
      <w:bookmarkStart w:id="46" w:name="_Toc11635"/>
      <w:bookmarkStart w:id="47" w:name="_Toc21723"/>
      <w:bookmarkStart w:id="48" w:name="_Toc12714"/>
      <w:bookmarkStart w:id="49" w:name="_Toc1764"/>
      <w:r>
        <w:rPr>
          <w:rFonts w:hint="eastAsia" w:ascii="宋体" w:hAnsi="宋体" w:eastAsia="宋体" w:cs="宋体"/>
          <w:kern w:val="0"/>
          <w:sz w:val="30"/>
          <w:szCs w:val="30"/>
        </w:rPr>
        <w:t>投标单位根据评标办法无格式的自拟，投标文件后附：评标办法索引表（格式自拟）</w:t>
      </w:r>
      <w:bookmarkEnd w:id="44"/>
      <w:bookmarkEnd w:id="45"/>
      <w:bookmarkEnd w:id="46"/>
      <w:bookmarkEnd w:id="47"/>
      <w:bookmarkEnd w:id="48"/>
      <w:bookmarkEnd w:id="49"/>
    </w:p>
    <w:p>
      <w:pPr>
        <w:snapToGrid w:val="0"/>
        <w:spacing w:line="360" w:lineRule="auto"/>
        <w:ind w:left="420" w:leftChars="200"/>
        <w:jc w:val="center"/>
        <w:rPr>
          <w:rFonts w:hint="eastAsia" w:ascii="宋体" w:hAnsi="宋体" w:cs="宋体"/>
          <w:szCs w:val="21"/>
        </w:rPr>
      </w:pPr>
    </w:p>
    <w:p>
      <w:pPr>
        <w:snapToGrid w:val="0"/>
        <w:spacing w:line="360" w:lineRule="auto"/>
        <w:ind w:left="420" w:leftChars="200"/>
        <w:jc w:val="center"/>
        <w:rPr>
          <w:rFonts w:hint="eastAsia" w:ascii="宋体" w:hAnsi="宋体" w:cs="宋体"/>
          <w:szCs w:val="21"/>
        </w:rPr>
      </w:pPr>
    </w:p>
    <w:p>
      <w:pPr>
        <w:snapToGrid w:val="0"/>
        <w:spacing w:line="360" w:lineRule="auto"/>
        <w:ind w:left="420" w:leftChars="200"/>
        <w:jc w:val="center"/>
        <w:rPr>
          <w:rFonts w:hint="eastAsia" w:ascii="宋体" w:hAnsi="宋体" w:cs="宋体"/>
          <w:b/>
          <w:szCs w:val="21"/>
        </w:rPr>
      </w:pPr>
    </w:p>
    <w:p/>
    <w:p>
      <w:pPr>
        <w:ind w:firstLine="4410" w:firstLineChars="2100"/>
        <w:jc w:val="both"/>
        <w:rPr>
          <w:sz w:val="21"/>
          <w:szCs w:val="21"/>
        </w:rPr>
      </w:pPr>
    </w:p>
    <w:sectPr>
      <w:headerReference r:id="rId16" w:type="first"/>
      <w:footerReference r:id="rId19" w:type="first"/>
      <w:footerReference r:id="rId17" w:type="default"/>
      <w:footerReference r:id="rId18" w:type="even"/>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moder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微软雅黑 Light">
    <w:altName w:val="黑体"/>
    <w:panose1 w:val="020B0502040204020203"/>
    <w:charset w:val="86"/>
    <w:family w:val="swiss"/>
    <w:pitch w:val="default"/>
    <w:sig w:usb0="00000000" w:usb1="00000000" w:usb2="00000016" w:usb3="00000000" w:csb0="0004001F" w:csb1="00000000"/>
  </w:font>
  <w:font w:name="Helvetica">
    <w:altName w:val="Arial"/>
    <w:panose1 w:val="020B0604020202020204"/>
    <w:charset w:val="00"/>
    <w:family w:val="modern"/>
    <w:pitch w:val="default"/>
    <w:sig w:usb0="00000000" w:usb1="00000000" w:usb2="00000009" w:usb3="00000000" w:csb0="000001FF" w:csb1="00000000"/>
  </w:font>
  <w:font w:name="仿宋_GB2312">
    <w:altName w:val="仿宋"/>
    <w:panose1 w:val="02010609030101010101"/>
    <w:charset w:val="86"/>
    <w:family w:val="roma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rPr>
                              <w:rStyle w:val="31"/>
                            </w:rPr>
                          </w:pPr>
                          <w:r>
                            <w:fldChar w:fldCharType="begin"/>
                          </w:r>
                          <w:r>
                            <w:rPr>
                              <w:rStyle w:val="31"/>
                            </w:rPr>
                            <w:instrText xml:space="preserve">PAGE  </w:instrText>
                          </w:r>
                          <w:r>
                            <w:fldChar w:fldCharType="separate"/>
                          </w:r>
                          <w:r>
                            <w:rPr>
                              <w:rStyle w:val="31"/>
                            </w:rPr>
                            <w:t>37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v:fill on="f" focussize="0,0"/>
              <v:stroke on="f" weight="1.25pt"/>
              <v:imagedata o:title=""/>
              <o:lock v:ext="edit" aspectratio="f"/>
              <v:textbox inset="0mm,0mm,0mm,0mm" style="mso-fit-shape-to-text:t;">
                <w:txbxContent>
                  <w:p>
                    <w:pPr>
                      <w:pStyle w:val="19"/>
                      <w:rPr>
                        <w:rStyle w:val="31"/>
                      </w:rPr>
                    </w:pPr>
                    <w:r>
                      <w:fldChar w:fldCharType="begin"/>
                    </w:r>
                    <w:r>
                      <w:rPr>
                        <w:rStyle w:val="31"/>
                      </w:rPr>
                      <w:instrText xml:space="preserve">PAGE  </w:instrText>
                    </w:r>
                    <w:r>
                      <w:fldChar w:fldCharType="separate"/>
                    </w:r>
                    <w:r>
                      <w:rPr>
                        <w:rStyle w:val="31"/>
                      </w:rPr>
                      <w:t>37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1"/>
      </w:rPr>
    </w:pPr>
    <w:r>
      <w:fldChar w:fldCharType="begin"/>
    </w:r>
    <w:r>
      <w:rPr>
        <w:rStyle w:val="31"/>
      </w:rPr>
      <w:instrText xml:space="preserve">PAGE  </w:instrText>
    </w:r>
    <w:r>
      <w:fldChar w:fldCharType="separate"/>
    </w:r>
    <w:r>
      <w:fldChar w:fldCharType="end"/>
    </w:r>
  </w:p>
  <w:p>
    <w:pPr>
      <w:pStyle w:val="19"/>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1"/>
      </w:rPr>
    </w:pPr>
    <w:r>
      <w:fldChar w:fldCharType="begin"/>
    </w:r>
    <w:r>
      <w:rPr>
        <w:rStyle w:val="31"/>
      </w:rPr>
      <w:instrText xml:space="preserve">PAGE  </w:instrText>
    </w:r>
    <w:r>
      <w:fldChar w:fldCharType="separate"/>
    </w:r>
    <w:r>
      <w:rPr>
        <w:rStyle w:val="31"/>
      </w:rPr>
      <w:t>25</w: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442409"/>
    </w:sdtPr>
    <w:sdtContent>
      <w:p>
        <w:pPr>
          <w:pStyle w:val="19"/>
          <w:jc w:val="center"/>
        </w:pPr>
        <w:r>
          <w:fldChar w:fldCharType="begin"/>
        </w:r>
        <w:r>
          <w:instrText xml:space="preserve"> PAGE   \* MERGEFORMAT </w:instrText>
        </w:r>
        <w:r>
          <w:fldChar w:fldCharType="separate"/>
        </w:r>
        <w:r>
          <w:rPr>
            <w:lang w:val="zh-CN"/>
          </w:rPr>
          <w:t>62</w:t>
        </w:r>
        <w:r>
          <w:rPr>
            <w:lang w:val="zh-CN"/>
          </w:rPr>
          <w:fldChar w:fldCharType="end"/>
        </w:r>
      </w:p>
    </w:sdtContent>
  </w:sdt>
  <w:p>
    <w:pPr>
      <w:pStyle w:val="19"/>
      <w:ind w:right="720" w:firstLine="210" w:firstLineChars="100"/>
      <w:jc w:val="center"/>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1"/>
      </w:rPr>
    </w:pPr>
    <w:r>
      <w:fldChar w:fldCharType="begin"/>
    </w:r>
    <w:r>
      <w:rPr>
        <w:rStyle w:val="31"/>
      </w:rPr>
      <w:instrText xml:space="preserve">PAGE  </w:instrText>
    </w:r>
    <w:r>
      <w:fldChar w:fldCharType="end"/>
    </w:r>
  </w:p>
  <w:p>
    <w:pPr>
      <w:pStyle w:val="1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4399"/>
        <w:tab w:val="clear" w:pos="4153"/>
      </w:tabs>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34</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19"/>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b8hprMAQAAmQMAAA4AAABkcnMvZTJvRG9jLnhtbK1TzY7TMBC+I/EO&#10;lu80zW4X0ajpClQtQkKAtPAArjNpLPlPHrdJXwDegBMX7jxXn4Oxk3ZhueyBizOeGX8z3zeT1e1g&#10;NDtAQOVszcvZnDOw0jXK7mr+5fPdi1ecYRS2EdpZqPkRkN+unz9b9b6CK9c53UBgBGKx6n3Nuxh9&#10;VRQoOzACZ86DpWDrghGRrmFXNEH0hG50cTWfvyx6FxofnARE8m7GIJ8Qw1MAXdsqCRsn9wZsHFED&#10;aBGJEnbKI1/nbtsWZPzYtgiR6ZoT05hPKkL2Np3FeiWqXRC+U3JqQTylhUecjFCWil6gNiIKtg/q&#10;HyijZHDo2jiTzhQjkawIsSjnj7S574SHzIWkRn8RHf8frPxw+BSYamq+5MwKQwM/ff92+vHr9PMr&#10;WyZ5eo8VZd17yovDGzfQ0pz9SM7EemiDSV/iwyhO4h4v4sIQmUyPysXy+oYzSaHyulwsbhJK8fDY&#10;B4xvwRmWjJoHml2WVBzeYxxTzymplnV3Sus8P23/chDm6IG8ANPrxGPsN1lx2A4Tua1rjsStpyWo&#10;uaWd50y/s6Rx2pezEc7GdjJSRfSv95HayN0l1BGKWKULTSzzm7YrrcSf95z18Ee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5X5J0AAAAAMBAAAPAAAAAAAAAAEAIAAAACIAAABkcnMvZG93bnJl&#10;di54bWxQSwECFAAUAAAACACHTuJANvyGmswBAACZAwAADgAAAAAAAAABACAAAAAfAQAAZHJzL2Uy&#10;b0RvYy54bWxQSwUGAAAAAAYABgBZAQAAXQUAAAAA&#10;">
              <v:fill on="f" focussize="0,0"/>
              <v:stroke on="f"/>
              <v:imagedata o:title=""/>
              <o:lock v:ext="edit" aspectratio="f"/>
              <v:textbox inset="0mm,0mm,0mm,0mm" style="mso-fit-shape-to-text:t;">
                <w:txbxContent>
                  <w:p>
                    <w:pPr>
                      <w:pStyle w:val="19"/>
                    </w:pP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1"/>
                            </w:rPr>
                          </w:pPr>
                          <w:r>
                            <w:fldChar w:fldCharType="begin"/>
                          </w:r>
                          <w:r>
                            <w:rPr>
                              <w:rStyle w:val="31"/>
                            </w:rPr>
                            <w:instrText xml:space="preserve">PAGE  </w:instrText>
                          </w:r>
                          <w:r>
                            <w:fldChar w:fldCharType="separate"/>
                          </w:r>
                          <w:r>
                            <w:rPr>
                              <w:rStyle w:val="31"/>
                            </w:rP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9"/>
                      <w:rPr>
                        <w:rStyle w:val="31"/>
                      </w:rPr>
                    </w:pPr>
                    <w:r>
                      <w:fldChar w:fldCharType="begin"/>
                    </w:r>
                    <w:r>
                      <w:rPr>
                        <w:rStyle w:val="31"/>
                      </w:rPr>
                      <w:instrText xml:space="preserve">PAGE  </w:instrText>
                    </w:r>
                    <w:r>
                      <w:fldChar w:fldCharType="separate"/>
                    </w:r>
                    <w:r>
                      <w:rPr>
                        <w:rStyle w:val="31"/>
                      </w:rPr>
                      <w:t>33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ind w:right="360"/>
      <w:rPr>
        <w:rStyle w:val="31"/>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jc w:val="center"/>
                            <w:rPr>
                              <w:rStyle w:val="31"/>
                            </w:rPr>
                          </w:pPr>
                          <w:r>
                            <w:fldChar w:fldCharType="begin"/>
                          </w:r>
                          <w:r>
                            <w:rPr>
                              <w:rStyle w:val="31"/>
                            </w:rPr>
                            <w:instrText xml:space="preserve">PAGE  </w:instrText>
                          </w:r>
                          <w:r>
                            <w:fldChar w:fldCharType="separate"/>
                          </w:r>
                          <w:r>
                            <w:rPr>
                              <w:rStyle w:val="31"/>
                            </w:rPr>
                            <w:t>21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fill on="f" focussize="0,0"/>
              <v:stroke on="f" weight="1.25pt"/>
              <v:imagedata o:title=""/>
              <o:lock v:ext="edit" aspectratio="f"/>
              <v:textbox inset="0mm,0mm,0mm,0mm" style="mso-fit-shape-to-text:t;">
                <w:txbxContent>
                  <w:p>
                    <w:pPr>
                      <w:pStyle w:val="19"/>
                      <w:jc w:val="center"/>
                      <w:rPr>
                        <w:rStyle w:val="31"/>
                      </w:rPr>
                    </w:pPr>
                    <w:r>
                      <w:fldChar w:fldCharType="begin"/>
                    </w:r>
                    <w:r>
                      <w:rPr>
                        <w:rStyle w:val="31"/>
                      </w:rPr>
                      <w:instrText xml:space="preserve">PAGE  </w:instrText>
                    </w:r>
                    <w:r>
                      <w:fldChar w:fldCharType="separate"/>
                    </w:r>
                    <w:r>
                      <w:rPr>
                        <w:rStyle w:val="31"/>
                      </w:rPr>
                      <w:t>21</w:t>
                    </w:r>
                    <w:r>
                      <w:fldChar w:fldCharType="end"/>
                    </w:r>
                  </w:p>
                </w:txbxContent>
              </v:textbox>
            </v:shape>
          </w:pict>
        </mc:Fallback>
      </mc:AlternateContent>
    </w:r>
  </w:p>
  <w:p>
    <w:pPr>
      <w:pStyle w:val="19"/>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ind w:right="360"/>
      <w:rPr>
        <w:rStyle w:val="31"/>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rPr>
                              <w:rStyle w:val="31"/>
                            </w:rPr>
                          </w:pPr>
                          <w:r>
                            <w:fldChar w:fldCharType="begin"/>
                          </w:r>
                          <w:r>
                            <w:rPr>
                              <w:rStyle w:val="31"/>
                            </w:rPr>
                            <w:instrText xml:space="preserve">PAGE  </w:instrText>
                          </w:r>
                          <w:r>
                            <w:fldChar w:fldCharType="separate"/>
                          </w:r>
                          <w:r>
                            <w:rPr>
                              <w:rStyle w:val="31"/>
                            </w:rPr>
                            <w:t>34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DS/3YAQAAs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MNL/dgBAACxAwAADgAAAAAAAAAB&#10;ACAAAAAiAQAAZHJzL2Uyb0RvYy54bWxQSwUGAAAAAAYABgBZAQAAbAUAAAAA&#10;">
              <v:fill on="f" focussize="0,0"/>
              <v:stroke on="f" weight="1.25pt"/>
              <v:imagedata o:title=""/>
              <o:lock v:ext="edit" aspectratio="f"/>
              <v:textbox inset="0mm,0mm,0mm,0mm" style="mso-fit-shape-to-text:t;">
                <w:txbxContent>
                  <w:p>
                    <w:pPr>
                      <w:pStyle w:val="19"/>
                      <w:rPr>
                        <w:rStyle w:val="31"/>
                      </w:rPr>
                    </w:pPr>
                    <w:r>
                      <w:fldChar w:fldCharType="begin"/>
                    </w:r>
                    <w:r>
                      <w:rPr>
                        <w:rStyle w:val="31"/>
                      </w:rPr>
                      <w:instrText xml:space="preserve">PAGE  </w:instrText>
                    </w:r>
                    <w:r>
                      <w:fldChar w:fldCharType="separate"/>
                    </w:r>
                    <w:r>
                      <w:rPr>
                        <w:rStyle w:val="31"/>
                      </w:rPr>
                      <w:t>34</w:t>
                    </w:r>
                    <w:r>
                      <w:fldChar w:fldCharType="end"/>
                    </w:r>
                  </w:p>
                </w:txbxContent>
              </v:textbox>
            </v:shape>
          </w:pict>
        </mc:Fallback>
      </mc:AlternateContent>
    </w:r>
  </w:p>
  <w:p>
    <w:pPr>
      <w:pStyle w:val="19"/>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rPr>
        <w:rFonts w:ascii="宋体" w:hAnsi="宋体"/>
        <w:sz w:val="21"/>
        <w:szCs w:val="21"/>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3E1EC"/>
    <w:multiLevelType w:val="singleLevel"/>
    <w:tmpl w:val="8863E1EC"/>
    <w:lvl w:ilvl="0" w:tentative="0">
      <w:start w:val="3"/>
      <w:numFmt w:val="chineseCounting"/>
      <w:suff w:val="space"/>
      <w:lvlText w:val="第%1部分"/>
      <w:lvlJc w:val="left"/>
      <w:rPr>
        <w:rFonts w:hint="eastAsia"/>
      </w:rPr>
    </w:lvl>
  </w:abstractNum>
  <w:abstractNum w:abstractNumId="1">
    <w:nsid w:val="2E42602A"/>
    <w:multiLevelType w:val="multilevel"/>
    <w:tmpl w:val="2E42602A"/>
    <w:lvl w:ilvl="0" w:tentative="0">
      <w:start w:val="1"/>
      <w:numFmt w:val="bullet"/>
      <w:pStyle w:val="94"/>
      <w:suff w:val="space"/>
      <w:lvlText w:val=""/>
      <w:lvlJc w:val="left"/>
      <w:pPr>
        <w:ind w:left="0" w:firstLine="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3E3A07A7"/>
    <w:multiLevelType w:val="multilevel"/>
    <w:tmpl w:val="3E3A07A7"/>
    <w:lvl w:ilvl="0" w:tentative="0">
      <w:start w:val="1"/>
      <w:numFmt w:val="decimal"/>
      <w:lvlText w:val="（%1）"/>
      <w:lvlJc w:val="left"/>
      <w:pPr>
        <w:ind w:left="1560" w:hanging="720"/>
      </w:pPr>
      <w:rPr>
        <w:rFonts w:hint="default" w:cs="Times New Roman"/>
        <w:color w:val="auto"/>
        <w:sz w:val="21"/>
      </w:rPr>
    </w:lvl>
    <w:lvl w:ilvl="1" w:tentative="0">
      <w:start w:val="1"/>
      <w:numFmt w:val="decimal"/>
      <w:lvlText w:val="%2、"/>
      <w:lvlJc w:val="left"/>
      <w:pPr>
        <w:ind w:left="1620" w:hanging="36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5C2DB612"/>
    <w:multiLevelType w:val="singleLevel"/>
    <w:tmpl w:val="5C2DB612"/>
    <w:lvl w:ilvl="0" w:tentative="0">
      <w:start w:val="2"/>
      <w:numFmt w:val="chineseCounting"/>
      <w:suff w:val="nothing"/>
      <w:lvlText w:val="%1、"/>
      <w:lvlJc w:val="left"/>
    </w:lvl>
  </w:abstractNum>
  <w:abstractNum w:abstractNumId="4">
    <w:nsid w:val="5E871470"/>
    <w:multiLevelType w:val="singleLevel"/>
    <w:tmpl w:val="5E871470"/>
    <w:lvl w:ilvl="0" w:tentative="0">
      <w:start w:val="5"/>
      <w:numFmt w:val="chineseCounting"/>
      <w:suff w:val="nothing"/>
      <w:lvlText w:val="%1、"/>
      <w:lvlJc w:val="left"/>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0"/>
  <w:bordersDoNotSurroundFooter w:val="0"/>
  <w:documentProtection w:enforcement="0"/>
  <w:defaultTabStop w:val="420"/>
  <w:drawingGridHorizontalSpacing w:val="107"/>
  <w:drawingGridVerticalSpacing w:val="16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OTFhYjU1ZjUxOTc1ZDlhOTk3MmUxZjdmNDUwN2UifQ=="/>
  </w:docVars>
  <w:rsids>
    <w:rsidRoot w:val="00172A27"/>
    <w:rsid w:val="0000057B"/>
    <w:rsid w:val="00002C6B"/>
    <w:rsid w:val="0000466A"/>
    <w:rsid w:val="00004DE0"/>
    <w:rsid w:val="00005A20"/>
    <w:rsid w:val="00007A34"/>
    <w:rsid w:val="0001757B"/>
    <w:rsid w:val="000210B6"/>
    <w:rsid w:val="00024780"/>
    <w:rsid w:val="00025EC6"/>
    <w:rsid w:val="00031AA0"/>
    <w:rsid w:val="00033482"/>
    <w:rsid w:val="000352AE"/>
    <w:rsid w:val="000434F6"/>
    <w:rsid w:val="00044D44"/>
    <w:rsid w:val="000464CB"/>
    <w:rsid w:val="00046B9F"/>
    <w:rsid w:val="00051C72"/>
    <w:rsid w:val="00052140"/>
    <w:rsid w:val="0005267F"/>
    <w:rsid w:val="0005409C"/>
    <w:rsid w:val="00056EA8"/>
    <w:rsid w:val="00060FC8"/>
    <w:rsid w:val="00067D1F"/>
    <w:rsid w:val="00070203"/>
    <w:rsid w:val="000840AD"/>
    <w:rsid w:val="000843FC"/>
    <w:rsid w:val="0008640A"/>
    <w:rsid w:val="000868B3"/>
    <w:rsid w:val="000873FA"/>
    <w:rsid w:val="00091D85"/>
    <w:rsid w:val="000922D9"/>
    <w:rsid w:val="00097F5D"/>
    <w:rsid w:val="000A2709"/>
    <w:rsid w:val="000A2B9E"/>
    <w:rsid w:val="000B5B51"/>
    <w:rsid w:val="000C202B"/>
    <w:rsid w:val="000D251F"/>
    <w:rsid w:val="000D433F"/>
    <w:rsid w:val="000E5885"/>
    <w:rsid w:val="000E6646"/>
    <w:rsid w:val="000E7365"/>
    <w:rsid w:val="000E7AA9"/>
    <w:rsid w:val="000F05A9"/>
    <w:rsid w:val="000F3571"/>
    <w:rsid w:val="000F49A0"/>
    <w:rsid w:val="000F5397"/>
    <w:rsid w:val="000F7905"/>
    <w:rsid w:val="001047F6"/>
    <w:rsid w:val="001057CA"/>
    <w:rsid w:val="00110135"/>
    <w:rsid w:val="00110630"/>
    <w:rsid w:val="00111BBF"/>
    <w:rsid w:val="00114876"/>
    <w:rsid w:val="00115E0E"/>
    <w:rsid w:val="00117202"/>
    <w:rsid w:val="001211B0"/>
    <w:rsid w:val="00123AFD"/>
    <w:rsid w:val="0012636D"/>
    <w:rsid w:val="00127E7B"/>
    <w:rsid w:val="00132D19"/>
    <w:rsid w:val="00134995"/>
    <w:rsid w:val="00135C11"/>
    <w:rsid w:val="00140AEB"/>
    <w:rsid w:val="00141FDE"/>
    <w:rsid w:val="00144B21"/>
    <w:rsid w:val="00146172"/>
    <w:rsid w:val="001461C5"/>
    <w:rsid w:val="001464E8"/>
    <w:rsid w:val="00146B19"/>
    <w:rsid w:val="00152B4A"/>
    <w:rsid w:val="00161395"/>
    <w:rsid w:val="00161AC5"/>
    <w:rsid w:val="00163E40"/>
    <w:rsid w:val="00164C2B"/>
    <w:rsid w:val="00164E7A"/>
    <w:rsid w:val="0017208E"/>
    <w:rsid w:val="00172A27"/>
    <w:rsid w:val="00175794"/>
    <w:rsid w:val="00176A8F"/>
    <w:rsid w:val="0017730C"/>
    <w:rsid w:val="0018645D"/>
    <w:rsid w:val="00186A81"/>
    <w:rsid w:val="001905C6"/>
    <w:rsid w:val="00194BDB"/>
    <w:rsid w:val="001968A0"/>
    <w:rsid w:val="001A34C4"/>
    <w:rsid w:val="001A6DFD"/>
    <w:rsid w:val="001A75F6"/>
    <w:rsid w:val="001B0FDB"/>
    <w:rsid w:val="001B1B9B"/>
    <w:rsid w:val="001B1C81"/>
    <w:rsid w:val="001B384C"/>
    <w:rsid w:val="001B7B42"/>
    <w:rsid w:val="001C6368"/>
    <w:rsid w:val="001E4693"/>
    <w:rsid w:val="001E78DF"/>
    <w:rsid w:val="001F071D"/>
    <w:rsid w:val="001F0B9C"/>
    <w:rsid w:val="001F213C"/>
    <w:rsid w:val="001F2C9A"/>
    <w:rsid w:val="001F3CC0"/>
    <w:rsid w:val="001F754A"/>
    <w:rsid w:val="00204470"/>
    <w:rsid w:val="0021083A"/>
    <w:rsid w:val="00216C98"/>
    <w:rsid w:val="0021715E"/>
    <w:rsid w:val="00223911"/>
    <w:rsid w:val="0022474D"/>
    <w:rsid w:val="00225B1D"/>
    <w:rsid w:val="00226724"/>
    <w:rsid w:val="00226DD1"/>
    <w:rsid w:val="00240B7E"/>
    <w:rsid w:val="002426CC"/>
    <w:rsid w:val="00244FE9"/>
    <w:rsid w:val="002456C4"/>
    <w:rsid w:val="0024679F"/>
    <w:rsid w:val="0024786E"/>
    <w:rsid w:val="00247F71"/>
    <w:rsid w:val="00261776"/>
    <w:rsid w:val="00262DDB"/>
    <w:rsid w:val="0027150E"/>
    <w:rsid w:val="00271BEF"/>
    <w:rsid w:val="002720B7"/>
    <w:rsid w:val="002721C7"/>
    <w:rsid w:val="00273406"/>
    <w:rsid w:val="00273C5D"/>
    <w:rsid w:val="00280723"/>
    <w:rsid w:val="002812EB"/>
    <w:rsid w:val="00283D68"/>
    <w:rsid w:val="00285C12"/>
    <w:rsid w:val="002931E1"/>
    <w:rsid w:val="00293284"/>
    <w:rsid w:val="00296FCA"/>
    <w:rsid w:val="002B62BD"/>
    <w:rsid w:val="002B746B"/>
    <w:rsid w:val="002B7E8E"/>
    <w:rsid w:val="002C126F"/>
    <w:rsid w:val="002C4162"/>
    <w:rsid w:val="002C53B4"/>
    <w:rsid w:val="002D25F9"/>
    <w:rsid w:val="002D3E47"/>
    <w:rsid w:val="002D54C0"/>
    <w:rsid w:val="002D5E0C"/>
    <w:rsid w:val="002E0928"/>
    <w:rsid w:val="002E1519"/>
    <w:rsid w:val="002E31D8"/>
    <w:rsid w:val="002E46A6"/>
    <w:rsid w:val="002E686B"/>
    <w:rsid w:val="002E7016"/>
    <w:rsid w:val="002F2B1A"/>
    <w:rsid w:val="00300C34"/>
    <w:rsid w:val="00305003"/>
    <w:rsid w:val="00306C84"/>
    <w:rsid w:val="0031536D"/>
    <w:rsid w:val="0031576B"/>
    <w:rsid w:val="003171B6"/>
    <w:rsid w:val="00323A1A"/>
    <w:rsid w:val="00323E80"/>
    <w:rsid w:val="003331C5"/>
    <w:rsid w:val="00334AE6"/>
    <w:rsid w:val="00335A19"/>
    <w:rsid w:val="00340E8A"/>
    <w:rsid w:val="003523FA"/>
    <w:rsid w:val="00356039"/>
    <w:rsid w:val="00360F70"/>
    <w:rsid w:val="003617CA"/>
    <w:rsid w:val="0036415C"/>
    <w:rsid w:val="00367B04"/>
    <w:rsid w:val="00367F0D"/>
    <w:rsid w:val="0037423C"/>
    <w:rsid w:val="0037495E"/>
    <w:rsid w:val="00386381"/>
    <w:rsid w:val="003919C8"/>
    <w:rsid w:val="0039568D"/>
    <w:rsid w:val="003A0C4C"/>
    <w:rsid w:val="003B240D"/>
    <w:rsid w:val="003B294C"/>
    <w:rsid w:val="003B2FBB"/>
    <w:rsid w:val="003B4D26"/>
    <w:rsid w:val="003B558A"/>
    <w:rsid w:val="003B5962"/>
    <w:rsid w:val="003C2BD8"/>
    <w:rsid w:val="003C59C4"/>
    <w:rsid w:val="003D5B7A"/>
    <w:rsid w:val="003E5038"/>
    <w:rsid w:val="003E6435"/>
    <w:rsid w:val="003E7A38"/>
    <w:rsid w:val="00402C9F"/>
    <w:rsid w:val="00410B25"/>
    <w:rsid w:val="00415F4C"/>
    <w:rsid w:val="00416ECC"/>
    <w:rsid w:val="00417A65"/>
    <w:rsid w:val="00417E34"/>
    <w:rsid w:val="004240AB"/>
    <w:rsid w:val="00431AEC"/>
    <w:rsid w:val="00434959"/>
    <w:rsid w:val="00443426"/>
    <w:rsid w:val="004442F5"/>
    <w:rsid w:val="0044485D"/>
    <w:rsid w:val="00444ABB"/>
    <w:rsid w:val="0044719E"/>
    <w:rsid w:val="004544EA"/>
    <w:rsid w:val="004553C9"/>
    <w:rsid w:val="00455504"/>
    <w:rsid w:val="004640B8"/>
    <w:rsid w:val="0046648B"/>
    <w:rsid w:val="00471B8E"/>
    <w:rsid w:val="00471F90"/>
    <w:rsid w:val="00472602"/>
    <w:rsid w:val="0047284C"/>
    <w:rsid w:val="00472EE7"/>
    <w:rsid w:val="00481131"/>
    <w:rsid w:val="0048236B"/>
    <w:rsid w:val="0048350B"/>
    <w:rsid w:val="004A47BB"/>
    <w:rsid w:val="004A6686"/>
    <w:rsid w:val="004B1574"/>
    <w:rsid w:val="004B3E01"/>
    <w:rsid w:val="004B4061"/>
    <w:rsid w:val="004B6A83"/>
    <w:rsid w:val="004C1C96"/>
    <w:rsid w:val="004C2907"/>
    <w:rsid w:val="004C5146"/>
    <w:rsid w:val="004C5D79"/>
    <w:rsid w:val="004C6AAD"/>
    <w:rsid w:val="004D1D3C"/>
    <w:rsid w:val="004D3BF0"/>
    <w:rsid w:val="004D72DD"/>
    <w:rsid w:val="004D75BB"/>
    <w:rsid w:val="004D78DC"/>
    <w:rsid w:val="004E7BC3"/>
    <w:rsid w:val="004F3E54"/>
    <w:rsid w:val="004F46BE"/>
    <w:rsid w:val="004F55A8"/>
    <w:rsid w:val="004F6182"/>
    <w:rsid w:val="004F68A1"/>
    <w:rsid w:val="005069AF"/>
    <w:rsid w:val="00514C66"/>
    <w:rsid w:val="0052203E"/>
    <w:rsid w:val="00526833"/>
    <w:rsid w:val="00527A80"/>
    <w:rsid w:val="005308A9"/>
    <w:rsid w:val="0053283B"/>
    <w:rsid w:val="005328B5"/>
    <w:rsid w:val="00540B15"/>
    <w:rsid w:val="005448A3"/>
    <w:rsid w:val="005455D3"/>
    <w:rsid w:val="00552BA3"/>
    <w:rsid w:val="00554814"/>
    <w:rsid w:val="00557C0A"/>
    <w:rsid w:val="005603A6"/>
    <w:rsid w:val="00572CC2"/>
    <w:rsid w:val="00573AF4"/>
    <w:rsid w:val="00576072"/>
    <w:rsid w:val="00576DF6"/>
    <w:rsid w:val="00590E76"/>
    <w:rsid w:val="0059379B"/>
    <w:rsid w:val="005944C2"/>
    <w:rsid w:val="00594FAA"/>
    <w:rsid w:val="0059522C"/>
    <w:rsid w:val="005A2C66"/>
    <w:rsid w:val="005A4E64"/>
    <w:rsid w:val="005B10BF"/>
    <w:rsid w:val="005B3956"/>
    <w:rsid w:val="005B502C"/>
    <w:rsid w:val="005B7423"/>
    <w:rsid w:val="005C0059"/>
    <w:rsid w:val="005D074C"/>
    <w:rsid w:val="005D6448"/>
    <w:rsid w:val="005D715A"/>
    <w:rsid w:val="005D7DC9"/>
    <w:rsid w:val="005E363F"/>
    <w:rsid w:val="005E7456"/>
    <w:rsid w:val="005F7A14"/>
    <w:rsid w:val="00610534"/>
    <w:rsid w:val="00612F15"/>
    <w:rsid w:val="00614A48"/>
    <w:rsid w:val="006179D3"/>
    <w:rsid w:val="0062323B"/>
    <w:rsid w:val="00623F70"/>
    <w:rsid w:val="00624B93"/>
    <w:rsid w:val="00625F8B"/>
    <w:rsid w:val="00636836"/>
    <w:rsid w:val="006401F7"/>
    <w:rsid w:val="006429DC"/>
    <w:rsid w:val="00655306"/>
    <w:rsid w:val="006566D8"/>
    <w:rsid w:val="00663538"/>
    <w:rsid w:val="00667FB7"/>
    <w:rsid w:val="00674958"/>
    <w:rsid w:val="00681281"/>
    <w:rsid w:val="00692869"/>
    <w:rsid w:val="00694CC9"/>
    <w:rsid w:val="006952A9"/>
    <w:rsid w:val="006A1901"/>
    <w:rsid w:val="006A35FF"/>
    <w:rsid w:val="006B6B98"/>
    <w:rsid w:val="006C2213"/>
    <w:rsid w:val="006C2C4A"/>
    <w:rsid w:val="006C4753"/>
    <w:rsid w:val="006C5585"/>
    <w:rsid w:val="006C5C47"/>
    <w:rsid w:val="006D0211"/>
    <w:rsid w:val="006D72FB"/>
    <w:rsid w:val="006E18D5"/>
    <w:rsid w:val="006F3DA1"/>
    <w:rsid w:val="006F4A35"/>
    <w:rsid w:val="006F53F6"/>
    <w:rsid w:val="00702F49"/>
    <w:rsid w:val="007149D3"/>
    <w:rsid w:val="00714CE0"/>
    <w:rsid w:val="00717130"/>
    <w:rsid w:val="00724224"/>
    <w:rsid w:val="00726337"/>
    <w:rsid w:val="0072711E"/>
    <w:rsid w:val="00732366"/>
    <w:rsid w:val="007433D8"/>
    <w:rsid w:val="00745417"/>
    <w:rsid w:val="00746E52"/>
    <w:rsid w:val="00751CA2"/>
    <w:rsid w:val="00752448"/>
    <w:rsid w:val="0075510C"/>
    <w:rsid w:val="0075577F"/>
    <w:rsid w:val="00755D7C"/>
    <w:rsid w:val="00760BD8"/>
    <w:rsid w:val="00763D74"/>
    <w:rsid w:val="0076589B"/>
    <w:rsid w:val="00777827"/>
    <w:rsid w:val="007831E0"/>
    <w:rsid w:val="00791BC3"/>
    <w:rsid w:val="00792873"/>
    <w:rsid w:val="00796FFB"/>
    <w:rsid w:val="007A4A66"/>
    <w:rsid w:val="007A6339"/>
    <w:rsid w:val="007A7AEC"/>
    <w:rsid w:val="007B1C6B"/>
    <w:rsid w:val="007B33B0"/>
    <w:rsid w:val="007B3AFE"/>
    <w:rsid w:val="007B5339"/>
    <w:rsid w:val="007C03F3"/>
    <w:rsid w:val="007C1F59"/>
    <w:rsid w:val="007C230D"/>
    <w:rsid w:val="007D0BE5"/>
    <w:rsid w:val="007D409D"/>
    <w:rsid w:val="007D43D9"/>
    <w:rsid w:val="007D44A6"/>
    <w:rsid w:val="007E0C50"/>
    <w:rsid w:val="007E2919"/>
    <w:rsid w:val="007E7C4D"/>
    <w:rsid w:val="007F3B51"/>
    <w:rsid w:val="007F3DE5"/>
    <w:rsid w:val="007F497D"/>
    <w:rsid w:val="007F59F0"/>
    <w:rsid w:val="007F6DA8"/>
    <w:rsid w:val="007F6E23"/>
    <w:rsid w:val="007F77FA"/>
    <w:rsid w:val="00801587"/>
    <w:rsid w:val="00801A16"/>
    <w:rsid w:val="008034F2"/>
    <w:rsid w:val="008039E9"/>
    <w:rsid w:val="0081146B"/>
    <w:rsid w:val="00822EC8"/>
    <w:rsid w:val="008310FD"/>
    <w:rsid w:val="00837CC1"/>
    <w:rsid w:val="00841F47"/>
    <w:rsid w:val="00843AEF"/>
    <w:rsid w:val="00844B0D"/>
    <w:rsid w:val="00847237"/>
    <w:rsid w:val="00847F03"/>
    <w:rsid w:val="008559A9"/>
    <w:rsid w:val="0086335E"/>
    <w:rsid w:val="008666C6"/>
    <w:rsid w:val="00884DFC"/>
    <w:rsid w:val="008912EB"/>
    <w:rsid w:val="008A1809"/>
    <w:rsid w:val="008A1899"/>
    <w:rsid w:val="008A1D91"/>
    <w:rsid w:val="008A21E5"/>
    <w:rsid w:val="008A69C8"/>
    <w:rsid w:val="008B015A"/>
    <w:rsid w:val="008B4736"/>
    <w:rsid w:val="008C24C2"/>
    <w:rsid w:val="008C3A6B"/>
    <w:rsid w:val="008C5262"/>
    <w:rsid w:val="008D192D"/>
    <w:rsid w:val="008D487E"/>
    <w:rsid w:val="008D5A1B"/>
    <w:rsid w:val="008D69D5"/>
    <w:rsid w:val="008E281C"/>
    <w:rsid w:val="008E7950"/>
    <w:rsid w:val="00900658"/>
    <w:rsid w:val="00906AEA"/>
    <w:rsid w:val="00911160"/>
    <w:rsid w:val="00913222"/>
    <w:rsid w:val="00924144"/>
    <w:rsid w:val="009310D6"/>
    <w:rsid w:val="00932C3A"/>
    <w:rsid w:val="00936B7C"/>
    <w:rsid w:val="00940074"/>
    <w:rsid w:val="00941870"/>
    <w:rsid w:val="009429D9"/>
    <w:rsid w:val="0094491F"/>
    <w:rsid w:val="009520A8"/>
    <w:rsid w:val="00952C88"/>
    <w:rsid w:val="0095500E"/>
    <w:rsid w:val="00956DF9"/>
    <w:rsid w:val="0096281D"/>
    <w:rsid w:val="00963583"/>
    <w:rsid w:val="0096578D"/>
    <w:rsid w:val="00967265"/>
    <w:rsid w:val="00970255"/>
    <w:rsid w:val="0097166F"/>
    <w:rsid w:val="00980A00"/>
    <w:rsid w:val="00987DCE"/>
    <w:rsid w:val="00991F43"/>
    <w:rsid w:val="0099705F"/>
    <w:rsid w:val="00997E57"/>
    <w:rsid w:val="009A246C"/>
    <w:rsid w:val="009A5FB1"/>
    <w:rsid w:val="009B770E"/>
    <w:rsid w:val="009C0ADA"/>
    <w:rsid w:val="009C11B7"/>
    <w:rsid w:val="009C1E58"/>
    <w:rsid w:val="009C223A"/>
    <w:rsid w:val="009C2E20"/>
    <w:rsid w:val="009C7F73"/>
    <w:rsid w:val="009D0E0C"/>
    <w:rsid w:val="009D2707"/>
    <w:rsid w:val="009D742D"/>
    <w:rsid w:val="009E04AC"/>
    <w:rsid w:val="009E06AA"/>
    <w:rsid w:val="009E15AA"/>
    <w:rsid w:val="009E448F"/>
    <w:rsid w:val="009E60A5"/>
    <w:rsid w:val="009E6803"/>
    <w:rsid w:val="009E68D7"/>
    <w:rsid w:val="009F0DB0"/>
    <w:rsid w:val="009F29F1"/>
    <w:rsid w:val="00A03652"/>
    <w:rsid w:val="00A12219"/>
    <w:rsid w:val="00A12348"/>
    <w:rsid w:val="00A13798"/>
    <w:rsid w:val="00A202D8"/>
    <w:rsid w:val="00A2339F"/>
    <w:rsid w:val="00A323D1"/>
    <w:rsid w:val="00A36DE5"/>
    <w:rsid w:val="00A40D1A"/>
    <w:rsid w:val="00A453CD"/>
    <w:rsid w:val="00A458CE"/>
    <w:rsid w:val="00A50AFD"/>
    <w:rsid w:val="00A50B82"/>
    <w:rsid w:val="00A62B5F"/>
    <w:rsid w:val="00A64F05"/>
    <w:rsid w:val="00A724C9"/>
    <w:rsid w:val="00A725A3"/>
    <w:rsid w:val="00A739C0"/>
    <w:rsid w:val="00A762A2"/>
    <w:rsid w:val="00A76610"/>
    <w:rsid w:val="00A7787D"/>
    <w:rsid w:val="00A81FA5"/>
    <w:rsid w:val="00A83428"/>
    <w:rsid w:val="00A8529F"/>
    <w:rsid w:val="00A856CF"/>
    <w:rsid w:val="00A9223F"/>
    <w:rsid w:val="00A94A07"/>
    <w:rsid w:val="00A960F5"/>
    <w:rsid w:val="00AC20AC"/>
    <w:rsid w:val="00AD1C4A"/>
    <w:rsid w:val="00AD2D45"/>
    <w:rsid w:val="00AD30BC"/>
    <w:rsid w:val="00AD3F3E"/>
    <w:rsid w:val="00AD5F3A"/>
    <w:rsid w:val="00AE030A"/>
    <w:rsid w:val="00AE480E"/>
    <w:rsid w:val="00AE4C20"/>
    <w:rsid w:val="00AE51E1"/>
    <w:rsid w:val="00AF3013"/>
    <w:rsid w:val="00B03406"/>
    <w:rsid w:val="00B14493"/>
    <w:rsid w:val="00B20E23"/>
    <w:rsid w:val="00B21677"/>
    <w:rsid w:val="00B40154"/>
    <w:rsid w:val="00B4248B"/>
    <w:rsid w:val="00B44FD1"/>
    <w:rsid w:val="00B479BC"/>
    <w:rsid w:val="00B50130"/>
    <w:rsid w:val="00B52BB1"/>
    <w:rsid w:val="00B52E93"/>
    <w:rsid w:val="00B540D2"/>
    <w:rsid w:val="00B55157"/>
    <w:rsid w:val="00B60C01"/>
    <w:rsid w:val="00B61588"/>
    <w:rsid w:val="00B71EDC"/>
    <w:rsid w:val="00B72482"/>
    <w:rsid w:val="00B72733"/>
    <w:rsid w:val="00B73C69"/>
    <w:rsid w:val="00B74E98"/>
    <w:rsid w:val="00B81EE2"/>
    <w:rsid w:val="00B850ED"/>
    <w:rsid w:val="00B87337"/>
    <w:rsid w:val="00B87D47"/>
    <w:rsid w:val="00B94DC5"/>
    <w:rsid w:val="00B956C6"/>
    <w:rsid w:val="00BB351D"/>
    <w:rsid w:val="00BB3693"/>
    <w:rsid w:val="00BB514A"/>
    <w:rsid w:val="00BB6DE2"/>
    <w:rsid w:val="00BC0A12"/>
    <w:rsid w:val="00BD098E"/>
    <w:rsid w:val="00BD2829"/>
    <w:rsid w:val="00BD515C"/>
    <w:rsid w:val="00BD7EB7"/>
    <w:rsid w:val="00BE2684"/>
    <w:rsid w:val="00BE5303"/>
    <w:rsid w:val="00BE6B5A"/>
    <w:rsid w:val="00BE7108"/>
    <w:rsid w:val="00BF429B"/>
    <w:rsid w:val="00BF4E80"/>
    <w:rsid w:val="00BF655A"/>
    <w:rsid w:val="00BF7878"/>
    <w:rsid w:val="00C133CE"/>
    <w:rsid w:val="00C23015"/>
    <w:rsid w:val="00C25F98"/>
    <w:rsid w:val="00C30E8A"/>
    <w:rsid w:val="00C35C1D"/>
    <w:rsid w:val="00C3676C"/>
    <w:rsid w:val="00C450A1"/>
    <w:rsid w:val="00C45142"/>
    <w:rsid w:val="00C53A5F"/>
    <w:rsid w:val="00C54D16"/>
    <w:rsid w:val="00C61FFD"/>
    <w:rsid w:val="00C743F2"/>
    <w:rsid w:val="00C749C1"/>
    <w:rsid w:val="00C777EF"/>
    <w:rsid w:val="00C87ACA"/>
    <w:rsid w:val="00C93C4D"/>
    <w:rsid w:val="00C96860"/>
    <w:rsid w:val="00C97857"/>
    <w:rsid w:val="00CA04B5"/>
    <w:rsid w:val="00CA43F1"/>
    <w:rsid w:val="00CB1222"/>
    <w:rsid w:val="00CC4560"/>
    <w:rsid w:val="00CC7720"/>
    <w:rsid w:val="00CD3536"/>
    <w:rsid w:val="00CD35C1"/>
    <w:rsid w:val="00CD6E27"/>
    <w:rsid w:val="00CE3D98"/>
    <w:rsid w:val="00CE5F76"/>
    <w:rsid w:val="00CF0921"/>
    <w:rsid w:val="00CF7821"/>
    <w:rsid w:val="00D03E2E"/>
    <w:rsid w:val="00D04329"/>
    <w:rsid w:val="00D07DBC"/>
    <w:rsid w:val="00D10175"/>
    <w:rsid w:val="00D17F87"/>
    <w:rsid w:val="00D23F23"/>
    <w:rsid w:val="00D2545C"/>
    <w:rsid w:val="00D31CF9"/>
    <w:rsid w:val="00D35F93"/>
    <w:rsid w:val="00D42D24"/>
    <w:rsid w:val="00D44505"/>
    <w:rsid w:val="00D44EF0"/>
    <w:rsid w:val="00D51F42"/>
    <w:rsid w:val="00D528C8"/>
    <w:rsid w:val="00D56B2D"/>
    <w:rsid w:val="00D6030B"/>
    <w:rsid w:val="00D81DBE"/>
    <w:rsid w:val="00D84BF6"/>
    <w:rsid w:val="00D858D9"/>
    <w:rsid w:val="00D9145B"/>
    <w:rsid w:val="00DA4ECE"/>
    <w:rsid w:val="00DA591A"/>
    <w:rsid w:val="00DA6C00"/>
    <w:rsid w:val="00DA7E87"/>
    <w:rsid w:val="00DB0391"/>
    <w:rsid w:val="00DB36D5"/>
    <w:rsid w:val="00DB3DD9"/>
    <w:rsid w:val="00DB7C69"/>
    <w:rsid w:val="00DC17F6"/>
    <w:rsid w:val="00DC611C"/>
    <w:rsid w:val="00DD1ED4"/>
    <w:rsid w:val="00DD358A"/>
    <w:rsid w:val="00DD5B90"/>
    <w:rsid w:val="00DD6E44"/>
    <w:rsid w:val="00DE01BF"/>
    <w:rsid w:val="00DE2296"/>
    <w:rsid w:val="00DE311F"/>
    <w:rsid w:val="00DE6421"/>
    <w:rsid w:val="00DE6BD9"/>
    <w:rsid w:val="00DF113F"/>
    <w:rsid w:val="00E07358"/>
    <w:rsid w:val="00E10E4E"/>
    <w:rsid w:val="00E1106C"/>
    <w:rsid w:val="00E11893"/>
    <w:rsid w:val="00E13E1C"/>
    <w:rsid w:val="00E1503E"/>
    <w:rsid w:val="00E210FE"/>
    <w:rsid w:val="00E215B0"/>
    <w:rsid w:val="00E21BFE"/>
    <w:rsid w:val="00E21E2C"/>
    <w:rsid w:val="00E226CA"/>
    <w:rsid w:val="00E250C4"/>
    <w:rsid w:val="00E31E7A"/>
    <w:rsid w:val="00E32D74"/>
    <w:rsid w:val="00E3632C"/>
    <w:rsid w:val="00E37FDE"/>
    <w:rsid w:val="00E44F05"/>
    <w:rsid w:val="00E469DB"/>
    <w:rsid w:val="00E508F6"/>
    <w:rsid w:val="00E5446E"/>
    <w:rsid w:val="00E5632B"/>
    <w:rsid w:val="00E56498"/>
    <w:rsid w:val="00E61B17"/>
    <w:rsid w:val="00E6258F"/>
    <w:rsid w:val="00E62D5A"/>
    <w:rsid w:val="00E63807"/>
    <w:rsid w:val="00E673E8"/>
    <w:rsid w:val="00E67923"/>
    <w:rsid w:val="00E73690"/>
    <w:rsid w:val="00E74A02"/>
    <w:rsid w:val="00E74BC6"/>
    <w:rsid w:val="00E76E02"/>
    <w:rsid w:val="00E94401"/>
    <w:rsid w:val="00E94D8F"/>
    <w:rsid w:val="00E972AE"/>
    <w:rsid w:val="00EA3670"/>
    <w:rsid w:val="00EA7640"/>
    <w:rsid w:val="00EB0C90"/>
    <w:rsid w:val="00EB3725"/>
    <w:rsid w:val="00EB5F91"/>
    <w:rsid w:val="00EB7C70"/>
    <w:rsid w:val="00EC3447"/>
    <w:rsid w:val="00EC70F4"/>
    <w:rsid w:val="00EC78EE"/>
    <w:rsid w:val="00ED0B7A"/>
    <w:rsid w:val="00ED4073"/>
    <w:rsid w:val="00EE02F7"/>
    <w:rsid w:val="00EE0D22"/>
    <w:rsid w:val="00EE51BE"/>
    <w:rsid w:val="00EE5D03"/>
    <w:rsid w:val="00EF2F48"/>
    <w:rsid w:val="00EF34A1"/>
    <w:rsid w:val="00EF5F74"/>
    <w:rsid w:val="00EF7950"/>
    <w:rsid w:val="00F0184E"/>
    <w:rsid w:val="00F025B1"/>
    <w:rsid w:val="00F02A66"/>
    <w:rsid w:val="00F12467"/>
    <w:rsid w:val="00F14BB3"/>
    <w:rsid w:val="00F2799D"/>
    <w:rsid w:val="00F3403F"/>
    <w:rsid w:val="00F3563F"/>
    <w:rsid w:val="00F37F0C"/>
    <w:rsid w:val="00F431B9"/>
    <w:rsid w:val="00F43355"/>
    <w:rsid w:val="00F440A6"/>
    <w:rsid w:val="00F50CA9"/>
    <w:rsid w:val="00F57C4E"/>
    <w:rsid w:val="00F628AA"/>
    <w:rsid w:val="00F724F4"/>
    <w:rsid w:val="00F7329A"/>
    <w:rsid w:val="00F828B6"/>
    <w:rsid w:val="00F8439F"/>
    <w:rsid w:val="00F85D29"/>
    <w:rsid w:val="00F868B3"/>
    <w:rsid w:val="00F93416"/>
    <w:rsid w:val="00FA7DD3"/>
    <w:rsid w:val="00FB077E"/>
    <w:rsid w:val="00FB0E73"/>
    <w:rsid w:val="00FB1EAD"/>
    <w:rsid w:val="00FB5275"/>
    <w:rsid w:val="00FB5B94"/>
    <w:rsid w:val="00FC3D83"/>
    <w:rsid w:val="00FC72EA"/>
    <w:rsid w:val="00FD095B"/>
    <w:rsid w:val="00FD1DC8"/>
    <w:rsid w:val="00FD3ABE"/>
    <w:rsid w:val="00FD5AAB"/>
    <w:rsid w:val="00FD7D10"/>
    <w:rsid w:val="00FE5E3D"/>
    <w:rsid w:val="00FF2859"/>
    <w:rsid w:val="00FF31CD"/>
    <w:rsid w:val="01275761"/>
    <w:rsid w:val="012B1219"/>
    <w:rsid w:val="013B23E6"/>
    <w:rsid w:val="014A7C57"/>
    <w:rsid w:val="016F0A91"/>
    <w:rsid w:val="01762C0F"/>
    <w:rsid w:val="018E1EA2"/>
    <w:rsid w:val="019127B6"/>
    <w:rsid w:val="019D47B9"/>
    <w:rsid w:val="01A27D0B"/>
    <w:rsid w:val="01E3668E"/>
    <w:rsid w:val="022E6257"/>
    <w:rsid w:val="026305F6"/>
    <w:rsid w:val="02663C42"/>
    <w:rsid w:val="026F331C"/>
    <w:rsid w:val="027520D7"/>
    <w:rsid w:val="0275701E"/>
    <w:rsid w:val="030A7EAB"/>
    <w:rsid w:val="030B049D"/>
    <w:rsid w:val="030E471C"/>
    <w:rsid w:val="0318372E"/>
    <w:rsid w:val="03373C6A"/>
    <w:rsid w:val="03437FA3"/>
    <w:rsid w:val="0374413D"/>
    <w:rsid w:val="03774F35"/>
    <w:rsid w:val="039879E3"/>
    <w:rsid w:val="03A321E3"/>
    <w:rsid w:val="03AE60A2"/>
    <w:rsid w:val="03BD5AE4"/>
    <w:rsid w:val="03BE2B18"/>
    <w:rsid w:val="03D03373"/>
    <w:rsid w:val="03E94696"/>
    <w:rsid w:val="040C727D"/>
    <w:rsid w:val="04620439"/>
    <w:rsid w:val="047C504B"/>
    <w:rsid w:val="049716B3"/>
    <w:rsid w:val="04C74F7C"/>
    <w:rsid w:val="04CC1D57"/>
    <w:rsid w:val="04E411EF"/>
    <w:rsid w:val="04F05A45"/>
    <w:rsid w:val="050339CA"/>
    <w:rsid w:val="050E318E"/>
    <w:rsid w:val="052E1CCB"/>
    <w:rsid w:val="05556557"/>
    <w:rsid w:val="05644F36"/>
    <w:rsid w:val="057C1D39"/>
    <w:rsid w:val="05FD56D0"/>
    <w:rsid w:val="0620235A"/>
    <w:rsid w:val="06387AF4"/>
    <w:rsid w:val="064268D3"/>
    <w:rsid w:val="06626B46"/>
    <w:rsid w:val="06D80E87"/>
    <w:rsid w:val="06F1465C"/>
    <w:rsid w:val="07266E36"/>
    <w:rsid w:val="075F684B"/>
    <w:rsid w:val="07676055"/>
    <w:rsid w:val="07823A0B"/>
    <w:rsid w:val="078708B9"/>
    <w:rsid w:val="07A3112D"/>
    <w:rsid w:val="07E71CB2"/>
    <w:rsid w:val="07EA36D8"/>
    <w:rsid w:val="07F078BC"/>
    <w:rsid w:val="08256F5E"/>
    <w:rsid w:val="08303A92"/>
    <w:rsid w:val="08332FBB"/>
    <w:rsid w:val="08AD130B"/>
    <w:rsid w:val="08AD6BD5"/>
    <w:rsid w:val="08CF2C57"/>
    <w:rsid w:val="090B5543"/>
    <w:rsid w:val="0946740A"/>
    <w:rsid w:val="09812927"/>
    <w:rsid w:val="09904389"/>
    <w:rsid w:val="09B53863"/>
    <w:rsid w:val="09C757FE"/>
    <w:rsid w:val="09D00339"/>
    <w:rsid w:val="09EE244D"/>
    <w:rsid w:val="0A4725AB"/>
    <w:rsid w:val="0A4A5BF8"/>
    <w:rsid w:val="0AD211D1"/>
    <w:rsid w:val="0AE93662"/>
    <w:rsid w:val="0B076EEF"/>
    <w:rsid w:val="0B2B298E"/>
    <w:rsid w:val="0B4F3FD7"/>
    <w:rsid w:val="0BAF70CA"/>
    <w:rsid w:val="0C321039"/>
    <w:rsid w:val="0C4667E7"/>
    <w:rsid w:val="0C5E00BA"/>
    <w:rsid w:val="0C6D4FE5"/>
    <w:rsid w:val="0C701305"/>
    <w:rsid w:val="0C874EE1"/>
    <w:rsid w:val="0C9044F8"/>
    <w:rsid w:val="0CA00214"/>
    <w:rsid w:val="0D076022"/>
    <w:rsid w:val="0D555EA4"/>
    <w:rsid w:val="0D771665"/>
    <w:rsid w:val="0E6A142E"/>
    <w:rsid w:val="0E7E2789"/>
    <w:rsid w:val="0E9919B5"/>
    <w:rsid w:val="0ED31DEF"/>
    <w:rsid w:val="0EF47A70"/>
    <w:rsid w:val="0F135689"/>
    <w:rsid w:val="0F4368E2"/>
    <w:rsid w:val="0FD64E9F"/>
    <w:rsid w:val="0FD85A54"/>
    <w:rsid w:val="0FEE4B88"/>
    <w:rsid w:val="0FEF456D"/>
    <w:rsid w:val="0FFD2F87"/>
    <w:rsid w:val="100250BF"/>
    <w:rsid w:val="10081455"/>
    <w:rsid w:val="101F3682"/>
    <w:rsid w:val="10234A2C"/>
    <w:rsid w:val="10510DC1"/>
    <w:rsid w:val="10572E1C"/>
    <w:rsid w:val="10617D8B"/>
    <w:rsid w:val="107D48AD"/>
    <w:rsid w:val="10D40911"/>
    <w:rsid w:val="10D47789"/>
    <w:rsid w:val="1110299A"/>
    <w:rsid w:val="11211C93"/>
    <w:rsid w:val="112D74BE"/>
    <w:rsid w:val="118057AC"/>
    <w:rsid w:val="118A4194"/>
    <w:rsid w:val="119A5F77"/>
    <w:rsid w:val="11BC10B6"/>
    <w:rsid w:val="11C73FD2"/>
    <w:rsid w:val="11DE5594"/>
    <w:rsid w:val="11E626AA"/>
    <w:rsid w:val="12122705"/>
    <w:rsid w:val="122C3F45"/>
    <w:rsid w:val="1247170C"/>
    <w:rsid w:val="125C5D69"/>
    <w:rsid w:val="128B4DFC"/>
    <w:rsid w:val="12970D1A"/>
    <w:rsid w:val="12A84323"/>
    <w:rsid w:val="12DF0704"/>
    <w:rsid w:val="12F05FDF"/>
    <w:rsid w:val="1331507B"/>
    <w:rsid w:val="134228DB"/>
    <w:rsid w:val="136E2957"/>
    <w:rsid w:val="137D6D32"/>
    <w:rsid w:val="137F4B64"/>
    <w:rsid w:val="139A199E"/>
    <w:rsid w:val="13B3480E"/>
    <w:rsid w:val="13B711D0"/>
    <w:rsid w:val="13BF5D24"/>
    <w:rsid w:val="141B6A6D"/>
    <w:rsid w:val="143B213D"/>
    <w:rsid w:val="146C581E"/>
    <w:rsid w:val="14822C86"/>
    <w:rsid w:val="14BD05A7"/>
    <w:rsid w:val="14EC47FC"/>
    <w:rsid w:val="14F658C6"/>
    <w:rsid w:val="153100E0"/>
    <w:rsid w:val="153F4085"/>
    <w:rsid w:val="15604A58"/>
    <w:rsid w:val="15A3750D"/>
    <w:rsid w:val="161A2B3D"/>
    <w:rsid w:val="164F404C"/>
    <w:rsid w:val="164F4AE9"/>
    <w:rsid w:val="168611E2"/>
    <w:rsid w:val="16951897"/>
    <w:rsid w:val="16D43419"/>
    <w:rsid w:val="16D5710E"/>
    <w:rsid w:val="16DB7A1C"/>
    <w:rsid w:val="16E06C94"/>
    <w:rsid w:val="16EF32AE"/>
    <w:rsid w:val="16F92E7F"/>
    <w:rsid w:val="16FC0AD4"/>
    <w:rsid w:val="170117D4"/>
    <w:rsid w:val="170F26A3"/>
    <w:rsid w:val="173B001E"/>
    <w:rsid w:val="173E0892"/>
    <w:rsid w:val="173E3E7D"/>
    <w:rsid w:val="17521041"/>
    <w:rsid w:val="178A6818"/>
    <w:rsid w:val="17B678A0"/>
    <w:rsid w:val="182A380B"/>
    <w:rsid w:val="18303E4E"/>
    <w:rsid w:val="183B3024"/>
    <w:rsid w:val="184B770B"/>
    <w:rsid w:val="18884481"/>
    <w:rsid w:val="188F6EFF"/>
    <w:rsid w:val="189E73F3"/>
    <w:rsid w:val="18B947B7"/>
    <w:rsid w:val="18E66996"/>
    <w:rsid w:val="190B0DDA"/>
    <w:rsid w:val="193B33BD"/>
    <w:rsid w:val="19451B7E"/>
    <w:rsid w:val="1982059A"/>
    <w:rsid w:val="19D30A81"/>
    <w:rsid w:val="19D4161B"/>
    <w:rsid w:val="1A032CBF"/>
    <w:rsid w:val="1A24058E"/>
    <w:rsid w:val="1A562397"/>
    <w:rsid w:val="1A71322F"/>
    <w:rsid w:val="1A7647E7"/>
    <w:rsid w:val="1A7D432C"/>
    <w:rsid w:val="1A89451A"/>
    <w:rsid w:val="1A93207B"/>
    <w:rsid w:val="1AA93DAA"/>
    <w:rsid w:val="1AC11F06"/>
    <w:rsid w:val="1AC87762"/>
    <w:rsid w:val="1AE37446"/>
    <w:rsid w:val="1B2415D3"/>
    <w:rsid w:val="1B286622"/>
    <w:rsid w:val="1B3D52AC"/>
    <w:rsid w:val="1B9B4505"/>
    <w:rsid w:val="1BD96DDB"/>
    <w:rsid w:val="1BDD000E"/>
    <w:rsid w:val="1BF6798D"/>
    <w:rsid w:val="1C1C2D2B"/>
    <w:rsid w:val="1C567043"/>
    <w:rsid w:val="1C5A6AF0"/>
    <w:rsid w:val="1C866B04"/>
    <w:rsid w:val="1CAF5681"/>
    <w:rsid w:val="1CB312D8"/>
    <w:rsid w:val="1CEE1622"/>
    <w:rsid w:val="1D135ACD"/>
    <w:rsid w:val="1D197F5B"/>
    <w:rsid w:val="1D3D7EC4"/>
    <w:rsid w:val="1D4666F2"/>
    <w:rsid w:val="1D4B162F"/>
    <w:rsid w:val="1D7D3E0E"/>
    <w:rsid w:val="1D854DA5"/>
    <w:rsid w:val="1D904349"/>
    <w:rsid w:val="1DCC4875"/>
    <w:rsid w:val="1DD106B2"/>
    <w:rsid w:val="1DEA0D45"/>
    <w:rsid w:val="1DF63C75"/>
    <w:rsid w:val="1E236820"/>
    <w:rsid w:val="1E440E37"/>
    <w:rsid w:val="1E7C7CD7"/>
    <w:rsid w:val="1E7D213C"/>
    <w:rsid w:val="1E83436F"/>
    <w:rsid w:val="1EED1C96"/>
    <w:rsid w:val="1EF66935"/>
    <w:rsid w:val="1EFA5570"/>
    <w:rsid w:val="1F2F3AFD"/>
    <w:rsid w:val="1F3215D5"/>
    <w:rsid w:val="1F39529A"/>
    <w:rsid w:val="1F3A26D5"/>
    <w:rsid w:val="1F6130C4"/>
    <w:rsid w:val="1F7327F3"/>
    <w:rsid w:val="1FB82961"/>
    <w:rsid w:val="1FC54AD0"/>
    <w:rsid w:val="1FCD4EA9"/>
    <w:rsid w:val="1FD32DA6"/>
    <w:rsid w:val="20115AFA"/>
    <w:rsid w:val="201C7665"/>
    <w:rsid w:val="2031368A"/>
    <w:rsid w:val="20580C17"/>
    <w:rsid w:val="20910E0F"/>
    <w:rsid w:val="20A2041A"/>
    <w:rsid w:val="20A34ED2"/>
    <w:rsid w:val="20E24984"/>
    <w:rsid w:val="20F522FC"/>
    <w:rsid w:val="212174F9"/>
    <w:rsid w:val="216361B0"/>
    <w:rsid w:val="216910EC"/>
    <w:rsid w:val="21823A71"/>
    <w:rsid w:val="21974298"/>
    <w:rsid w:val="21B65500"/>
    <w:rsid w:val="21B751FF"/>
    <w:rsid w:val="21BA155E"/>
    <w:rsid w:val="21F570AD"/>
    <w:rsid w:val="22123C19"/>
    <w:rsid w:val="223E208E"/>
    <w:rsid w:val="2272763A"/>
    <w:rsid w:val="2277565C"/>
    <w:rsid w:val="227B3D63"/>
    <w:rsid w:val="22883877"/>
    <w:rsid w:val="229C1D23"/>
    <w:rsid w:val="22B365D8"/>
    <w:rsid w:val="23011885"/>
    <w:rsid w:val="23284CD5"/>
    <w:rsid w:val="23300BF7"/>
    <w:rsid w:val="23A13E17"/>
    <w:rsid w:val="23D14CF6"/>
    <w:rsid w:val="23D54CD4"/>
    <w:rsid w:val="23D73256"/>
    <w:rsid w:val="242C0D42"/>
    <w:rsid w:val="2482601E"/>
    <w:rsid w:val="248D49C9"/>
    <w:rsid w:val="24B81FC3"/>
    <w:rsid w:val="24E46F1D"/>
    <w:rsid w:val="24E5129C"/>
    <w:rsid w:val="255821DB"/>
    <w:rsid w:val="256B319A"/>
    <w:rsid w:val="2598673B"/>
    <w:rsid w:val="25C41259"/>
    <w:rsid w:val="25D23159"/>
    <w:rsid w:val="25ED3FA3"/>
    <w:rsid w:val="25F018F1"/>
    <w:rsid w:val="26307F40"/>
    <w:rsid w:val="26733C9C"/>
    <w:rsid w:val="26840B25"/>
    <w:rsid w:val="26A240AC"/>
    <w:rsid w:val="26E96021"/>
    <w:rsid w:val="27000ED6"/>
    <w:rsid w:val="2718689D"/>
    <w:rsid w:val="27201D62"/>
    <w:rsid w:val="2725254B"/>
    <w:rsid w:val="272E31BB"/>
    <w:rsid w:val="27421CD9"/>
    <w:rsid w:val="274A6102"/>
    <w:rsid w:val="27806CDB"/>
    <w:rsid w:val="279664C8"/>
    <w:rsid w:val="27B73BDA"/>
    <w:rsid w:val="28114D91"/>
    <w:rsid w:val="281815EA"/>
    <w:rsid w:val="281E515D"/>
    <w:rsid w:val="282A2EFA"/>
    <w:rsid w:val="284101E2"/>
    <w:rsid w:val="285A1030"/>
    <w:rsid w:val="2875217A"/>
    <w:rsid w:val="28893937"/>
    <w:rsid w:val="28A013AD"/>
    <w:rsid w:val="28A82660"/>
    <w:rsid w:val="28B80BC5"/>
    <w:rsid w:val="28D11EDB"/>
    <w:rsid w:val="28D76D98"/>
    <w:rsid w:val="28EA6ACC"/>
    <w:rsid w:val="29063EAA"/>
    <w:rsid w:val="29094780"/>
    <w:rsid w:val="2919115F"/>
    <w:rsid w:val="295608B0"/>
    <w:rsid w:val="297F55F6"/>
    <w:rsid w:val="29930F11"/>
    <w:rsid w:val="29B918CC"/>
    <w:rsid w:val="29BD20C6"/>
    <w:rsid w:val="29C55868"/>
    <w:rsid w:val="29EB38D5"/>
    <w:rsid w:val="29F5542C"/>
    <w:rsid w:val="2A1D07DB"/>
    <w:rsid w:val="2A64640A"/>
    <w:rsid w:val="2A7F60A5"/>
    <w:rsid w:val="2A830F86"/>
    <w:rsid w:val="2A93687D"/>
    <w:rsid w:val="2A950AF4"/>
    <w:rsid w:val="2A9A1E2C"/>
    <w:rsid w:val="2A9F5694"/>
    <w:rsid w:val="2AA37B19"/>
    <w:rsid w:val="2AA66A22"/>
    <w:rsid w:val="2AB6426C"/>
    <w:rsid w:val="2B0D4074"/>
    <w:rsid w:val="2B3D2E5A"/>
    <w:rsid w:val="2B5217A2"/>
    <w:rsid w:val="2B797C93"/>
    <w:rsid w:val="2B7A1F1F"/>
    <w:rsid w:val="2B9A264F"/>
    <w:rsid w:val="2BCB545A"/>
    <w:rsid w:val="2BCB7E65"/>
    <w:rsid w:val="2C5E1048"/>
    <w:rsid w:val="2C8D7E9A"/>
    <w:rsid w:val="2CAB751D"/>
    <w:rsid w:val="2CC061C3"/>
    <w:rsid w:val="2D60377E"/>
    <w:rsid w:val="2D6329A9"/>
    <w:rsid w:val="2D8642A7"/>
    <w:rsid w:val="2DAC0C1E"/>
    <w:rsid w:val="2DEF7334"/>
    <w:rsid w:val="2E05620B"/>
    <w:rsid w:val="2E112CF8"/>
    <w:rsid w:val="2E2472C0"/>
    <w:rsid w:val="2E411018"/>
    <w:rsid w:val="2E60483D"/>
    <w:rsid w:val="2E77608F"/>
    <w:rsid w:val="2EA94C95"/>
    <w:rsid w:val="2EB44415"/>
    <w:rsid w:val="2EB90B27"/>
    <w:rsid w:val="2EF04710"/>
    <w:rsid w:val="2F065D79"/>
    <w:rsid w:val="2F642A08"/>
    <w:rsid w:val="2FBE4E2B"/>
    <w:rsid w:val="2FD45881"/>
    <w:rsid w:val="30204B81"/>
    <w:rsid w:val="303D1BD7"/>
    <w:rsid w:val="30C44AAD"/>
    <w:rsid w:val="3115045E"/>
    <w:rsid w:val="314704CD"/>
    <w:rsid w:val="31644F41"/>
    <w:rsid w:val="31A00B57"/>
    <w:rsid w:val="31AC0DC2"/>
    <w:rsid w:val="31C3435E"/>
    <w:rsid w:val="31C76A7D"/>
    <w:rsid w:val="320504D2"/>
    <w:rsid w:val="326A1E77"/>
    <w:rsid w:val="326D2094"/>
    <w:rsid w:val="32732DF7"/>
    <w:rsid w:val="32A0644D"/>
    <w:rsid w:val="32A60981"/>
    <w:rsid w:val="32B0301E"/>
    <w:rsid w:val="32E77BD8"/>
    <w:rsid w:val="330864CC"/>
    <w:rsid w:val="33237E18"/>
    <w:rsid w:val="332A3795"/>
    <w:rsid w:val="3368186E"/>
    <w:rsid w:val="33784CD4"/>
    <w:rsid w:val="33875DE7"/>
    <w:rsid w:val="339D4735"/>
    <w:rsid w:val="339E298D"/>
    <w:rsid w:val="33B76DB5"/>
    <w:rsid w:val="33BA636C"/>
    <w:rsid w:val="34104BF8"/>
    <w:rsid w:val="345D5D99"/>
    <w:rsid w:val="34645984"/>
    <w:rsid w:val="34672804"/>
    <w:rsid w:val="347A44C1"/>
    <w:rsid w:val="348F0527"/>
    <w:rsid w:val="34AD3D69"/>
    <w:rsid w:val="351C7611"/>
    <w:rsid w:val="35463D89"/>
    <w:rsid w:val="35597028"/>
    <w:rsid w:val="35A748EC"/>
    <w:rsid w:val="3619454C"/>
    <w:rsid w:val="367B1593"/>
    <w:rsid w:val="36822F76"/>
    <w:rsid w:val="36A23F79"/>
    <w:rsid w:val="36A4524A"/>
    <w:rsid w:val="36B77B63"/>
    <w:rsid w:val="36C80A6B"/>
    <w:rsid w:val="36E815F6"/>
    <w:rsid w:val="36EB68C6"/>
    <w:rsid w:val="371D7242"/>
    <w:rsid w:val="379530B0"/>
    <w:rsid w:val="37C64260"/>
    <w:rsid w:val="37CA17EF"/>
    <w:rsid w:val="37E21516"/>
    <w:rsid w:val="381A6E91"/>
    <w:rsid w:val="38215F33"/>
    <w:rsid w:val="38293177"/>
    <w:rsid w:val="388C7258"/>
    <w:rsid w:val="38961FAC"/>
    <w:rsid w:val="38A75AD4"/>
    <w:rsid w:val="38BD38B5"/>
    <w:rsid w:val="38CB40F8"/>
    <w:rsid w:val="38CE1B13"/>
    <w:rsid w:val="38D3069F"/>
    <w:rsid w:val="38E73C59"/>
    <w:rsid w:val="38EE5B01"/>
    <w:rsid w:val="392806B2"/>
    <w:rsid w:val="3930052B"/>
    <w:rsid w:val="394B4123"/>
    <w:rsid w:val="39574E28"/>
    <w:rsid w:val="39875853"/>
    <w:rsid w:val="39974106"/>
    <w:rsid w:val="399B26DA"/>
    <w:rsid w:val="39A50914"/>
    <w:rsid w:val="39AA482D"/>
    <w:rsid w:val="39AE3D6B"/>
    <w:rsid w:val="39B94FA7"/>
    <w:rsid w:val="39DE364D"/>
    <w:rsid w:val="39E50678"/>
    <w:rsid w:val="3A000D6F"/>
    <w:rsid w:val="3A072C05"/>
    <w:rsid w:val="3A2B1759"/>
    <w:rsid w:val="3A340E0C"/>
    <w:rsid w:val="3A5475C9"/>
    <w:rsid w:val="3A623163"/>
    <w:rsid w:val="3A64110D"/>
    <w:rsid w:val="3A7633F1"/>
    <w:rsid w:val="3A880C39"/>
    <w:rsid w:val="3AB32AA6"/>
    <w:rsid w:val="3ABD61CF"/>
    <w:rsid w:val="3B031FCB"/>
    <w:rsid w:val="3B12399E"/>
    <w:rsid w:val="3BA26D92"/>
    <w:rsid w:val="3BB92AC4"/>
    <w:rsid w:val="3BD629DB"/>
    <w:rsid w:val="3BEE3DD2"/>
    <w:rsid w:val="3BF55114"/>
    <w:rsid w:val="3C0501F2"/>
    <w:rsid w:val="3C601004"/>
    <w:rsid w:val="3C9F4667"/>
    <w:rsid w:val="3CA61599"/>
    <w:rsid w:val="3CD042EF"/>
    <w:rsid w:val="3CE826A2"/>
    <w:rsid w:val="3CF71F22"/>
    <w:rsid w:val="3CF860A0"/>
    <w:rsid w:val="3D195B0D"/>
    <w:rsid w:val="3D20119A"/>
    <w:rsid w:val="3D4D190F"/>
    <w:rsid w:val="3D522044"/>
    <w:rsid w:val="3D5B544A"/>
    <w:rsid w:val="3DBF3F65"/>
    <w:rsid w:val="3DC611E1"/>
    <w:rsid w:val="3E1D0952"/>
    <w:rsid w:val="3E2C4BE1"/>
    <w:rsid w:val="3E2D75AB"/>
    <w:rsid w:val="3E8409D1"/>
    <w:rsid w:val="3E933BDB"/>
    <w:rsid w:val="3E9B2FAC"/>
    <w:rsid w:val="3EC01B26"/>
    <w:rsid w:val="3EC06FEE"/>
    <w:rsid w:val="3F2A14A9"/>
    <w:rsid w:val="40061C9A"/>
    <w:rsid w:val="4007793E"/>
    <w:rsid w:val="40986E62"/>
    <w:rsid w:val="40A85062"/>
    <w:rsid w:val="40BB69B2"/>
    <w:rsid w:val="40F8373D"/>
    <w:rsid w:val="40FB303F"/>
    <w:rsid w:val="40FC0E7C"/>
    <w:rsid w:val="41257D94"/>
    <w:rsid w:val="412E6E7D"/>
    <w:rsid w:val="413F08E3"/>
    <w:rsid w:val="415D2C2B"/>
    <w:rsid w:val="416F5C7F"/>
    <w:rsid w:val="417E204F"/>
    <w:rsid w:val="41A36D9E"/>
    <w:rsid w:val="41A73354"/>
    <w:rsid w:val="41B31CB0"/>
    <w:rsid w:val="41C20830"/>
    <w:rsid w:val="41D826B2"/>
    <w:rsid w:val="41E1736F"/>
    <w:rsid w:val="41E17F71"/>
    <w:rsid w:val="41EA3241"/>
    <w:rsid w:val="41FD78BA"/>
    <w:rsid w:val="4203620C"/>
    <w:rsid w:val="42085645"/>
    <w:rsid w:val="42387570"/>
    <w:rsid w:val="4251506E"/>
    <w:rsid w:val="4255456F"/>
    <w:rsid w:val="42785FB7"/>
    <w:rsid w:val="42B51AA1"/>
    <w:rsid w:val="42B533F0"/>
    <w:rsid w:val="42D45320"/>
    <w:rsid w:val="43140575"/>
    <w:rsid w:val="43416B84"/>
    <w:rsid w:val="43420D3E"/>
    <w:rsid w:val="435412BA"/>
    <w:rsid w:val="43574A95"/>
    <w:rsid w:val="43860D47"/>
    <w:rsid w:val="43B4696F"/>
    <w:rsid w:val="43E918C2"/>
    <w:rsid w:val="43F50DD2"/>
    <w:rsid w:val="44052591"/>
    <w:rsid w:val="444E1066"/>
    <w:rsid w:val="447874F5"/>
    <w:rsid w:val="4488654E"/>
    <w:rsid w:val="44AD37C2"/>
    <w:rsid w:val="44C270DD"/>
    <w:rsid w:val="44CF1CC4"/>
    <w:rsid w:val="44FE14DD"/>
    <w:rsid w:val="459A7AB5"/>
    <w:rsid w:val="45A41E47"/>
    <w:rsid w:val="45A83A3A"/>
    <w:rsid w:val="45C63F6B"/>
    <w:rsid w:val="45C9535A"/>
    <w:rsid w:val="45DE130F"/>
    <w:rsid w:val="45FD1C32"/>
    <w:rsid w:val="46126A91"/>
    <w:rsid w:val="46132D66"/>
    <w:rsid w:val="461D114A"/>
    <w:rsid w:val="46553F70"/>
    <w:rsid w:val="465D71DE"/>
    <w:rsid w:val="466F1F67"/>
    <w:rsid w:val="46715902"/>
    <w:rsid w:val="4676545F"/>
    <w:rsid w:val="46A23326"/>
    <w:rsid w:val="46D04CB2"/>
    <w:rsid w:val="46D71190"/>
    <w:rsid w:val="47070DC3"/>
    <w:rsid w:val="47480EF6"/>
    <w:rsid w:val="479B21B0"/>
    <w:rsid w:val="47C87B80"/>
    <w:rsid w:val="47DC0691"/>
    <w:rsid w:val="47DD7AD0"/>
    <w:rsid w:val="47E0151E"/>
    <w:rsid w:val="48650C15"/>
    <w:rsid w:val="4870267D"/>
    <w:rsid w:val="48981C49"/>
    <w:rsid w:val="48FB7925"/>
    <w:rsid w:val="4965186A"/>
    <w:rsid w:val="49692379"/>
    <w:rsid w:val="49887406"/>
    <w:rsid w:val="49A62143"/>
    <w:rsid w:val="49BD76DE"/>
    <w:rsid w:val="49E90461"/>
    <w:rsid w:val="4A0013A3"/>
    <w:rsid w:val="4A1E35B9"/>
    <w:rsid w:val="4A541FCC"/>
    <w:rsid w:val="4A8D1239"/>
    <w:rsid w:val="4A947588"/>
    <w:rsid w:val="4A9B7242"/>
    <w:rsid w:val="4AC705C3"/>
    <w:rsid w:val="4AD03930"/>
    <w:rsid w:val="4ADB6EF6"/>
    <w:rsid w:val="4AF4480D"/>
    <w:rsid w:val="4B431067"/>
    <w:rsid w:val="4B602106"/>
    <w:rsid w:val="4B880156"/>
    <w:rsid w:val="4B8A4B96"/>
    <w:rsid w:val="4BAC6006"/>
    <w:rsid w:val="4BD84517"/>
    <w:rsid w:val="4BE13907"/>
    <w:rsid w:val="4BEB429E"/>
    <w:rsid w:val="4BF51514"/>
    <w:rsid w:val="4C160978"/>
    <w:rsid w:val="4C263544"/>
    <w:rsid w:val="4C5F5F5D"/>
    <w:rsid w:val="4C6C56EC"/>
    <w:rsid w:val="4C866056"/>
    <w:rsid w:val="4C9B3AB5"/>
    <w:rsid w:val="4CB9218D"/>
    <w:rsid w:val="4CBA03DF"/>
    <w:rsid w:val="4CC21B78"/>
    <w:rsid w:val="4CC81ED1"/>
    <w:rsid w:val="4D0908F3"/>
    <w:rsid w:val="4D0A4797"/>
    <w:rsid w:val="4D101B26"/>
    <w:rsid w:val="4D325DBC"/>
    <w:rsid w:val="4DB31ECA"/>
    <w:rsid w:val="4DB7394C"/>
    <w:rsid w:val="4DF53AF8"/>
    <w:rsid w:val="4E21448E"/>
    <w:rsid w:val="4E2F0959"/>
    <w:rsid w:val="4E3446BB"/>
    <w:rsid w:val="4E3C76DF"/>
    <w:rsid w:val="4E58577B"/>
    <w:rsid w:val="4E5E1D31"/>
    <w:rsid w:val="4E6A7265"/>
    <w:rsid w:val="4E832BEF"/>
    <w:rsid w:val="4E8C7B5A"/>
    <w:rsid w:val="4E9F452F"/>
    <w:rsid w:val="4F1D2EA8"/>
    <w:rsid w:val="4F260218"/>
    <w:rsid w:val="4F323F7C"/>
    <w:rsid w:val="4F9D7B44"/>
    <w:rsid w:val="4F9F1B0F"/>
    <w:rsid w:val="4FAD3500"/>
    <w:rsid w:val="4FC11A45"/>
    <w:rsid w:val="50443274"/>
    <w:rsid w:val="50580146"/>
    <w:rsid w:val="50B91D73"/>
    <w:rsid w:val="50E377D9"/>
    <w:rsid w:val="51112015"/>
    <w:rsid w:val="51191FFF"/>
    <w:rsid w:val="514D099E"/>
    <w:rsid w:val="517A1653"/>
    <w:rsid w:val="51973AC3"/>
    <w:rsid w:val="51BE7671"/>
    <w:rsid w:val="52221F98"/>
    <w:rsid w:val="525E6FE1"/>
    <w:rsid w:val="526D11A3"/>
    <w:rsid w:val="52854FEC"/>
    <w:rsid w:val="52C91988"/>
    <w:rsid w:val="534470C7"/>
    <w:rsid w:val="53453594"/>
    <w:rsid w:val="53922B54"/>
    <w:rsid w:val="53BA0CC5"/>
    <w:rsid w:val="53CE30AB"/>
    <w:rsid w:val="53F87A3F"/>
    <w:rsid w:val="540006A2"/>
    <w:rsid w:val="5415239F"/>
    <w:rsid w:val="543224C9"/>
    <w:rsid w:val="54336CC9"/>
    <w:rsid w:val="54655D51"/>
    <w:rsid w:val="54990207"/>
    <w:rsid w:val="54AA0D3A"/>
    <w:rsid w:val="54F05465"/>
    <w:rsid w:val="54F53E45"/>
    <w:rsid w:val="550F2F8A"/>
    <w:rsid w:val="55142657"/>
    <w:rsid w:val="55162B19"/>
    <w:rsid w:val="551F5FB4"/>
    <w:rsid w:val="553E47CE"/>
    <w:rsid w:val="554F0C1F"/>
    <w:rsid w:val="5568038F"/>
    <w:rsid w:val="55BD0E57"/>
    <w:rsid w:val="55C30E9C"/>
    <w:rsid w:val="55FA7A9F"/>
    <w:rsid w:val="564318C1"/>
    <w:rsid w:val="56694D2B"/>
    <w:rsid w:val="568D5C1A"/>
    <w:rsid w:val="56A47A0A"/>
    <w:rsid w:val="56A812A9"/>
    <w:rsid w:val="56FE0C07"/>
    <w:rsid w:val="573C1866"/>
    <w:rsid w:val="57F20FC4"/>
    <w:rsid w:val="580F0C3C"/>
    <w:rsid w:val="58AB1524"/>
    <w:rsid w:val="58B54151"/>
    <w:rsid w:val="58B8779D"/>
    <w:rsid w:val="58C919AA"/>
    <w:rsid w:val="58FA344E"/>
    <w:rsid w:val="596C141E"/>
    <w:rsid w:val="59897E96"/>
    <w:rsid w:val="59BF1827"/>
    <w:rsid w:val="59E21771"/>
    <w:rsid w:val="59E9034B"/>
    <w:rsid w:val="59FB5B93"/>
    <w:rsid w:val="5A05778A"/>
    <w:rsid w:val="5A083723"/>
    <w:rsid w:val="5A315650"/>
    <w:rsid w:val="5A4879A5"/>
    <w:rsid w:val="5A547A46"/>
    <w:rsid w:val="5A5B45D0"/>
    <w:rsid w:val="5A845B89"/>
    <w:rsid w:val="5A94756C"/>
    <w:rsid w:val="5ABD593E"/>
    <w:rsid w:val="5B30574F"/>
    <w:rsid w:val="5B6B4F9B"/>
    <w:rsid w:val="5B94064E"/>
    <w:rsid w:val="5BEC795B"/>
    <w:rsid w:val="5C116E15"/>
    <w:rsid w:val="5C2B2713"/>
    <w:rsid w:val="5C606182"/>
    <w:rsid w:val="5C7659A5"/>
    <w:rsid w:val="5C87240B"/>
    <w:rsid w:val="5C8C51C9"/>
    <w:rsid w:val="5CD831D0"/>
    <w:rsid w:val="5CF74DCB"/>
    <w:rsid w:val="5D020F4B"/>
    <w:rsid w:val="5D1C19D8"/>
    <w:rsid w:val="5D8F563D"/>
    <w:rsid w:val="5DAB636B"/>
    <w:rsid w:val="5E0A34C5"/>
    <w:rsid w:val="5E106C49"/>
    <w:rsid w:val="5E2F4613"/>
    <w:rsid w:val="5E41474D"/>
    <w:rsid w:val="5E421925"/>
    <w:rsid w:val="5E886C8E"/>
    <w:rsid w:val="5E895323"/>
    <w:rsid w:val="5E8E5228"/>
    <w:rsid w:val="5F303FA8"/>
    <w:rsid w:val="5F89398B"/>
    <w:rsid w:val="5F960623"/>
    <w:rsid w:val="5FB42B98"/>
    <w:rsid w:val="5FB57681"/>
    <w:rsid w:val="5FC30F01"/>
    <w:rsid w:val="5FD30328"/>
    <w:rsid w:val="5FDE5550"/>
    <w:rsid w:val="5FE02CF0"/>
    <w:rsid w:val="5FE41DA4"/>
    <w:rsid w:val="5FE7257E"/>
    <w:rsid w:val="60034BF5"/>
    <w:rsid w:val="600D5478"/>
    <w:rsid w:val="60744F5F"/>
    <w:rsid w:val="6079516E"/>
    <w:rsid w:val="60C6179E"/>
    <w:rsid w:val="60DE6BD0"/>
    <w:rsid w:val="60E42AA1"/>
    <w:rsid w:val="61141E2A"/>
    <w:rsid w:val="611F3917"/>
    <w:rsid w:val="61351925"/>
    <w:rsid w:val="61402700"/>
    <w:rsid w:val="61571B4B"/>
    <w:rsid w:val="6189121C"/>
    <w:rsid w:val="61DD2D2F"/>
    <w:rsid w:val="62054E66"/>
    <w:rsid w:val="62150A70"/>
    <w:rsid w:val="621721D2"/>
    <w:rsid w:val="621E1A59"/>
    <w:rsid w:val="623B41A0"/>
    <w:rsid w:val="624E318C"/>
    <w:rsid w:val="62735759"/>
    <w:rsid w:val="629C4400"/>
    <w:rsid w:val="629D5835"/>
    <w:rsid w:val="629E1F95"/>
    <w:rsid w:val="62C12772"/>
    <w:rsid w:val="62CE781B"/>
    <w:rsid w:val="62E31181"/>
    <w:rsid w:val="62F11F34"/>
    <w:rsid w:val="633126B5"/>
    <w:rsid w:val="633B45FB"/>
    <w:rsid w:val="638906B4"/>
    <w:rsid w:val="63A4245C"/>
    <w:rsid w:val="63A63014"/>
    <w:rsid w:val="63D74ACB"/>
    <w:rsid w:val="63F36350"/>
    <w:rsid w:val="63F7561D"/>
    <w:rsid w:val="64682077"/>
    <w:rsid w:val="646C600B"/>
    <w:rsid w:val="64853918"/>
    <w:rsid w:val="64AD4CD5"/>
    <w:rsid w:val="64D272F5"/>
    <w:rsid w:val="64DD0CB7"/>
    <w:rsid w:val="65144C52"/>
    <w:rsid w:val="652B365C"/>
    <w:rsid w:val="65362175"/>
    <w:rsid w:val="65400A6D"/>
    <w:rsid w:val="65504137"/>
    <w:rsid w:val="65532D27"/>
    <w:rsid w:val="65613ED1"/>
    <w:rsid w:val="659307CB"/>
    <w:rsid w:val="65A821B8"/>
    <w:rsid w:val="65AC02A3"/>
    <w:rsid w:val="65B417D0"/>
    <w:rsid w:val="65BE0512"/>
    <w:rsid w:val="65BF2413"/>
    <w:rsid w:val="65DC2519"/>
    <w:rsid w:val="65F6402F"/>
    <w:rsid w:val="65FD1D56"/>
    <w:rsid w:val="6648074A"/>
    <w:rsid w:val="66A17AC3"/>
    <w:rsid w:val="66AD28B5"/>
    <w:rsid w:val="66AF21DF"/>
    <w:rsid w:val="66BA4709"/>
    <w:rsid w:val="66CF3A21"/>
    <w:rsid w:val="66E76CB7"/>
    <w:rsid w:val="66F11B68"/>
    <w:rsid w:val="6704617D"/>
    <w:rsid w:val="671D552C"/>
    <w:rsid w:val="672901E4"/>
    <w:rsid w:val="67366B0E"/>
    <w:rsid w:val="674F09BF"/>
    <w:rsid w:val="676A70D7"/>
    <w:rsid w:val="67AC117C"/>
    <w:rsid w:val="67BC62F7"/>
    <w:rsid w:val="67D8728E"/>
    <w:rsid w:val="67E04752"/>
    <w:rsid w:val="682664D1"/>
    <w:rsid w:val="682812C9"/>
    <w:rsid w:val="68294213"/>
    <w:rsid w:val="6831034A"/>
    <w:rsid w:val="688B1D44"/>
    <w:rsid w:val="68A546C1"/>
    <w:rsid w:val="68EF06C4"/>
    <w:rsid w:val="68EF06EF"/>
    <w:rsid w:val="690D7691"/>
    <w:rsid w:val="692813AE"/>
    <w:rsid w:val="693C3AD3"/>
    <w:rsid w:val="69AE4487"/>
    <w:rsid w:val="69CB7DB9"/>
    <w:rsid w:val="69DC6F7D"/>
    <w:rsid w:val="69DF74C2"/>
    <w:rsid w:val="69F8615D"/>
    <w:rsid w:val="69FD72F2"/>
    <w:rsid w:val="6A2D37A1"/>
    <w:rsid w:val="6A8E035E"/>
    <w:rsid w:val="6AA858C3"/>
    <w:rsid w:val="6AEB57B0"/>
    <w:rsid w:val="6AF74155"/>
    <w:rsid w:val="6B213DFE"/>
    <w:rsid w:val="6B281821"/>
    <w:rsid w:val="6B4355EC"/>
    <w:rsid w:val="6B49268B"/>
    <w:rsid w:val="6B607F4C"/>
    <w:rsid w:val="6B7B784A"/>
    <w:rsid w:val="6B8D23E5"/>
    <w:rsid w:val="6B945E48"/>
    <w:rsid w:val="6BEB4D8A"/>
    <w:rsid w:val="6BFE140E"/>
    <w:rsid w:val="6C007C1C"/>
    <w:rsid w:val="6C080B41"/>
    <w:rsid w:val="6C122E99"/>
    <w:rsid w:val="6C155165"/>
    <w:rsid w:val="6C704E5A"/>
    <w:rsid w:val="6CA15C1E"/>
    <w:rsid w:val="6CAC4088"/>
    <w:rsid w:val="6D1F4F99"/>
    <w:rsid w:val="6D2B4954"/>
    <w:rsid w:val="6D2D20B0"/>
    <w:rsid w:val="6D620DEE"/>
    <w:rsid w:val="6D6D3F5B"/>
    <w:rsid w:val="6D6E2515"/>
    <w:rsid w:val="6DA310EA"/>
    <w:rsid w:val="6DA41B6F"/>
    <w:rsid w:val="6DC04CD2"/>
    <w:rsid w:val="6DD32C57"/>
    <w:rsid w:val="6DD3498E"/>
    <w:rsid w:val="6DFA4C55"/>
    <w:rsid w:val="6E0A165C"/>
    <w:rsid w:val="6E186540"/>
    <w:rsid w:val="6E3B3CE2"/>
    <w:rsid w:val="6E8A0249"/>
    <w:rsid w:val="6E937920"/>
    <w:rsid w:val="6EEC7CDD"/>
    <w:rsid w:val="6F057709"/>
    <w:rsid w:val="6F0C1C24"/>
    <w:rsid w:val="6F0F5F11"/>
    <w:rsid w:val="6F130A6A"/>
    <w:rsid w:val="6F170419"/>
    <w:rsid w:val="6F4334F7"/>
    <w:rsid w:val="6F5079E2"/>
    <w:rsid w:val="6F697869"/>
    <w:rsid w:val="6FA4059D"/>
    <w:rsid w:val="6FB602B0"/>
    <w:rsid w:val="6FCF270C"/>
    <w:rsid w:val="70005716"/>
    <w:rsid w:val="702B71E2"/>
    <w:rsid w:val="7046560C"/>
    <w:rsid w:val="70894D24"/>
    <w:rsid w:val="709B37D5"/>
    <w:rsid w:val="70CD61BA"/>
    <w:rsid w:val="70E47EE3"/>
    <w:rsid w:val="70EF5CA0"/>
    <w:rsid w:val="70FB0EC8"/>
    <w:rsid w:val="710F11BD"/>
    <w:rsid w:val="711C24DA"/>
    <w:rsid w:val="711D4AD7"/>
    <w:rsid w:val="712B2DAA"/>
    <w:rsid w:val="71411491"/>
    <w:rsid w:val="715E48D9"/>
    <w:rsid w:val="716943CF"/>
    <w:rsid w:val="7198626C"/>
    <w:rsid w:val="71BA5C58"/>
    <w:rsid w:val="71BA7D3D"/>
    <w:rsid w:val="721970A7"/>
    <w:rsid w:val="72310CB1"/>
    <w:rsid w:val="72467253"/>
    <w:rsid w:val="728A2147"/>
    <w:rsid w:val="72EE6064"/>
    <w:rsid w:val="734E0107"/>
    <w:rsid w:val="73696DBB"/>
    <w:rsid w:val="736A172E"/>
    <w:rsid w:val="736B28E0"/>
    <w:rsid w:val="736F44A7"/>
    <w:rsid w:val="73825BA9"/>
    <w:rsid w:val="742B71C1"/>
    <w:rsid w:val="74760F37"/>
    <w:rsid w:val="74B135C7"/>
    <w:rsid w:val="74DB7270"/>
    <w:rsid w:val="750A360F"/>
    <w:rsid w:val="750D54B8"/>
    <w:rsid w:val="752F5288"/>
    <w:rsid w:val="75444108"/>
    <w:rsid w:val="754C7212"/>
    <w:rsid w:val="755359F6"/>
    <w:rsid w:val="75F05AFC"/>
    <w:rsid w:val="762725C7"/>
    <w:rsid w:val="76657226"/>
    <w:rsid w:val="769310C3"/>
    <w:rsid w:val="76A9197D"/>
    <w:rsid w:val="76B01F0C"/>
    <w:rsid w:val="76C54B95"/>
    <w:rsid w:val="76DF6898"/>
    <w:rsid w:val="77110B96"/>
    <w:rsid w:val="771148DC"/>
    <w:rsid w:val="7720599C"/>
    <w:rsid w:val="77242BC9"/>
    <w:rsid w:val="7758127B"/>
    <w:rsid w:val="778D527D"/>
    <w:rsid w:val="779455FA"/>
    <w:rsid w:val="77B1345C"/>
    <w:rsid w:val="77B8335A"/>
    <w:rsid w:val="77C01E1F"/>
    <w:rsid w:val="77D3401C"/>
    <w:rsid w:val="77E2703E"/>
    <w:rsid w:val="77EF532A"/>
    <w:rsid w:val="78057022"/>
    <w:rsid w:val="783424EA"/>
    <w:rsid w:val="7852547D"/>
    <w:rsid w:val="785978ED"/>
    <w:rsid w:val="7865656C"/>
    <w:rsid w:val="78E22364"/>
    <w:rsid w:val="791D5BC4"/>
    <w:rsid w:val="792D4391"/>
    <w:rsid w:val="793D61F5"/>
    <w:rsid w:val="795954E1"/>
    <w:rsid w:val="79CB5569"/>
    <w:rsid w:val="79ED6E4F"/>
    <w:rsid w:val="7A92579E"/>
    <w:rsid w:val="7ACA5CE8"/>
    <w:rsid w:val="7ACD260C"/>
    <w:rsid w:val="7AE237F5"/>
    <w:rsid w:val="7AE30703"/>
    <w:rsid w:val="7AEE6E4B"/>
    <w:rsid w:val="7AF266BA"/>
    <w:rsid w:val="7AF34FD9"/>
    <w:rsid w:val="7B091FD9"/>
    <w:rsid w:val="7B512CCA"/>
    <w:rsid w:val="7B670E83"/>
    <w:rsid w:val="7B7D1985"/>
    <w:rsid w:val="7B7F08C0"/>
    <w:rsid w:val="7BCF7C2C"/>
    <w:rsid w:val="7BF13797"/>
    <w:rsid w:val="7BF44604"/>
    <w:rsid w:val="7C084BE1"/>
    <w:rsid w:val="7C0B29FC"/>
    <w:rsid w:val="7C266648"/>
    <w:rsid w:val="7C596A1E"/>
    <w:rsid w:val="7C8B294F"/>
    <w:rsid w:val="7C9B3A9F"/>
    <w:rsid w:val="7D096B99"/>
    <w:rsid w:val="7D152224"/>
    <w:rsid w:val="7D3C25A3"/>
    <w:rsid w:val="7D4071CA"/>
    <w:rsid w:val="7D7E44F5"/>
    <w:rsid w:val="7D8D727A"/>
    <w:rsid w:val="7DE4561B"/>
    <w:rsid w:val="7E3A3E8C"/>
    <w:rsid w:val="7E6478FC"/>
    <w:rsid w:val="7E6C6F68"/>
    <w:rsid w:val="7E6E338C"/>
    <w:rsid w:val="7E881798"/>
    <w:rsid w:val="7EAD3464"/>
    <w:rsid w:val="7EED78F1"/>
    <w:rsid w:val="7F2D58D8"/>
    <w:rsid w:val="7F3614EC"/>
    <w:rsid w:val="7F484B27"/>
    <w:rsid w:val="7F4D0AA3"/>
    <w:rsid w:val="7F541E3D"/>
    <w:rsid w:val="7F6556D9"/>
    <w:rsid w:val="7F954211"/>
    <w:rsid w:val="7FE138D8"/>
    <w:rsid w:val="7FEC2F14"/>
    <w:rsid w:val="7FF378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1"/>
      <w:lang w:val="en-US" w:eastAsia="zh-CN" w:bidi="ar-SA"/>
    </w:rPr>
  </w:style>
  <w:style w:type="paragraph" w:styleId="3">
    <w:name w:val="heading 1"/>
    <w:basedOn w:val="1"/>
    <w:next w:val="1"/>
    <w:link w:val="54"/>
    <w:autoRedefine/>
    <w:qFormat/>
    <w:uiPriority w:val="0"/>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4">
    <w:name w:val="heading 2"/>
    <w:basedOn w:val="1"/>
    <w:next w:val="1"/>
    <w:link w:val="57"/>
    <w:autoRedefine/>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46"/>
    <w:autoRedefine/>
    <w:qFormat/>
    <w:uiPriority w:val="0"/>
    <w:pPr>
      <w:keepNext/>
      <w:keepLines/>
      <w:spacing w:before="260" w:after="260" w:line="416" w:lineRule="auto"/>
      <w:outlineLvl w:val="2"/>
    </w:pPr>
    <w:rPr>
      <w:b/>
      <w:bCs/>
      <w:sz w:val="32"/>
      <w:szCs w:val="32"/>
    </w:rPr>
  </w:style>
  <w:style w:type="paragraph" w:styleId="6">
    <w:name w:val="heading 4"/>
    <w:basedOn w:val="1"/>
    <w:next w:val="1"/>
    <w:autoRedefine/>
    <w:qFormat/>
    <w:uiPriority w:val="0"/>
    <w:pPr>
      <w:keepNext/>
      <w:keepLines/>
      <w:spacing w:beforeLines="100" w:line="360" w:lineRule="auto"/>
      <w:outlineLvl w:val="3"/>
    </w:pPr>
    <w:rPr>
      <w:rFonts w:ascii="Arial" w:hAnsi="Arial"/>
      <w:b/>
      <w:bCs/>
      <w:sz w:val="24"/>
      <w:szCs w:val="28"/>
    </w:rPr>
  </w:style>
  <w:style w:type="character" w:default="1" w:styleId="29">
    <w:name w:val="Default Paragraph Font"/>
    <w:autoRedefine/>
    <w:unhideWhenUsed/>
    <w:qFormat/>
    <w:uiPriority w:val="1"/>
  </w:style>
  <w:style w:type="table" w:default="1" w:styleId="27">
    <w:name w:val="Normal Table"/>
    <w:autoRedefine/>
    <w:unhideWhenUsed/>
    <w:qFormat/>
    <w:uiPriority w:val="99"/>
    <w:tblPr>
      <w:tblCellMar>
        <w:top w:w="0" w:type="dxa"/>
        <w:left w:w="108" w:type="dxa"/>
        <w:bottom w:w="0" w:type="dxa"/>
        <w:right w:w="108" w:type="dxa"/>
      </w:tblCellMar>
    </w:tblPr>
  </w:style>
  <w:style w:type="paragraph" w:customStyle="1" w:styleId="2">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7">
    <w:name w:val="Normal Indent"/>
    <w:basedOn w:val="1"/>
    <w:next w:val="8"/>
    <w:link w:val="50"/>
    <w:autoRedefine/>
    <w:qFormat/>
    <w:uiPriority w:val="0"/>
    <w:pPr>
      <w:ind w:firstLine="420"/>
    </w:pPr>
  </w:style>
  <w:style w:type="paragraph" w:styleId="8">
    <w:name w:val="toc 2"/>
    <w:basedOn w:val="1"/>
    <w:next w:val="1"/>
    <w:autoRedefine/>
    <w:qFormat/>
    <w:uiPriority w:val="39"/>
    <w:pPr>
      <w:tabs>
        <w:tab w:val="right" w:leader="middleDot" w:pos="8948"/>
      </w:tabs>
      <w:spacing w:before="60" w:after="60"/>
      <w:ind w:left="210"/>
    </w:pPr>
    <w:rPr>
      <w:smallCaps/>
    </w:rPr>
  </w:style>
  <w:style w:type="paragraph" w:styleId="9">
    <w:name w:val="caption"/>
    <w:basedOn w:val="1"/>
    <w:next w:val="1"/>
    <w:autoRedefine/>
    <w:qFormat/>
    <w:uiPriority w:val="0"/>
    <w:pPr>
      <w:spacing w:before="152" w:after="160"/>
    </w:pPr>
    <w:rPr>
      <w:rFonts w:ascii="Arial" w:hAnsi="Arial" w:eastAsia="黑体" w:cs="Arial"/>
      <w:sz w:val="20"/>
      <w:szCs w:val="20"/>
    </w:rPr>
  </w:style>
  <w:style w:type="paragraph" w:styleId="10">
    <w:name w:val="Document Map"/>
    <w:basedOn w:val="1"/>
    <w:link w:val="52"/>
    <w:autoRedefine/>
    <w:unhideWhenUsed/>
    <w:qFormat/>
    <w:uiPriority w:val="0"/>
    <w:rPr>
      <w:rFonts w:ascii="宋体"/>
      <w:sz w:val="18"/>
      <w:szCs w:val="18"/>
    </w:rPr>
  </w:style>
  <w:style w:type="paragraph" w:styleId="11">
    <w:name w:val="annotation text"/>
    <w:basedOn w:val="1"/>
    <w:autoRedefine/>
    <w:qFormat/>
    <w:uiPriority w:val="0"/>
    <w:pPr>
      <w:jc w:val="left"/>
    </w:pPr>
  </w:style>
  <w:style w:type="paragraph" w:styleId="12">
    <w:name w:val="Body Text"/>
    <w:basedOn w:val="1"/>
    <w:next w:val="13"/>
    <w:link w:val="59"/>
    <w:autoRedefine/>
    <w:qFormat/>
    <w:uiPriority w:val="0"/>
    <w:pPr>
      <w:widowControl w:val="0"/>
      <w:spacing w:line="360" w:lineRule="auto"/>
      <w:jc w:val="both"/>
    </w:pPr>
    <w:rPr>
      <w:rFonts w:ascii="楷体_GB2312" w:eastAsia="楷体_GB2312"/>
      <w:kern w:val="2"/>
      <w:sz w:val="32"/>
    </w:rPr>
  </w:style>
  <w:style w:type="paragraph" w:styleId="13">
    <w:name w:val="Body Text First Indent"/>
    <w:basedOn w:val="12"/>
    <w:next w:val="1"/>
    <w:link w:val="49"/>
    <w:autoRedefine/>
    <w:qFormat/>
    <w:uiPriority w:val="0"/>
    <w:pPr>
      <w:widowControl/>
      <w:spacing w:after="120" w:line="240" w:lineRule="auto"/>
      <w:ind w:firstLine="420" w:firstLineChars="100"/>
      <w:jc w:val="left"/>
    </w:pPr>
    <w:rPr>
      <w:rFonts w:ascii="Times New Roman"/>
      <w:sz w:val="21"/>
    </w:rPr>
  </w:style>
  <w:style w:type="paragraph" w:styleId="14">
    <w:name w:val="Body Text Indent"/>
    <w:basedOn w:val="1"/>
    <w:next w:val="1"/>
    <w:autoRedefine/>
    <w:qFormat/>
    <w:uiPriority w:val="0"/>
    <w:pPr>
      <w:spacing w:after="120"/>
      <w:ind w:left="420" w:leftChars="200"/>
    </w:pPr>
  </w:style>
  <w:style w:type="paragraph" w:styleId="15">
    <w:name w:val="toc 3"/>
    <w:basedOn w:val="1"/>
    <w:next w:val="1"/>
    <w:autoRedefine/>
    <w:unhideWhenUsed/>
    <w:qFormat/>
    <w:uiPriority w:val="0"/>
    <w:pPr>
      <w:ind w:left="840" w:leftChars="400"/>
    </w:pPr>
  </w:style>
  <w:style w:type="paragraph" w:styleId="16">
    <w:name w:val="Plain Text"/>
    <w:basedOn w:val="1"/>
    <w:next w:val="17"/>
    <w:link w:val="62"/>
    <w:autoRedefine/>
    <w:qFormat/>
    <w:uiPriority w:val="0"/>
    <w:pPr>
      <w:widowControl w:val="0"/>
      <w:jc w:val="both"/>
    </w:pPr>
    <w:rPr>
      <w:rFonts w:ascii="宋体" w:hAnsi="Courier New"/>
      <w:kern w:val="2"/>
    </w:rPr>
  </w:style>
  <w:style w:type="paragraph" w:styleId="17">
    <w:name w:val="Date"/>
    <w:basedOn w:val="1"/>
    <w:next w:val="1"/>
    <w:autoRedefine/>
    <w:qFormat/>
    <w:uiPriority w:val="0"/>
    <w:pPr>
      <w:widowControl w:val="0"/>
      <w:jc w:val="both"/>
    </w:pPr>
    <w:rPr>
      <w:rFonts w:ascii="宋体"/>
      <w:sz w:val="24"/>
    </w:rPr>
  </w:style>
  <w:style w:type="paragraph" w:styleId="18">
    <w:name w:val="Balloon Text"/>
    <w:basedOn w:val="1"/>
    <w:link w:val="56"/>
    <w:autoRedefine/>
    <w:unhideWhenUsed/>
    <w:qFormat/>
    <w:uiPriority w:val="0"/>
    <w:rPr>
      <w:sz w:val="18"/>
      <w:szCs w:val="18"/>
    </w:rPr>
  </w:style>
  <w:style w:type="paragraph" w:styleId="19">
    <w:name w:val="footer"/>
    <w:basedOn w:val="1"/>
    <w:link w:val="58"/>
    <w:autoRedefine/>
    <w:qFormat/>
    <w:uiPriority w:val="0"/>
    <w:pPr>
      <w:tabs>
        <w:tab w:val="center" w:pos="4153"/>
        <w:tab w:val="right" w:pos="8306"/>
      </w:tabs>
      <w:snapToGrid w:val="0"/>
    </w:pPr>
    <w:rPr>
      <w:sz w:val="18"/>
    </w:rPr>
  </w:style>
  <w:style w:type="paragraph" w:styleId="20">
    <w:name w:val="header"/>
    <w:basedOn w:val="1"/>
    <w:link w:val="6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39"/>
    <w:pPr>
      <w:tabs>
        <w:tab w:val="right" w:leader="middleDot" w:pos="8948"/>
      </w:tabs>
    </w:pPr>
    <w:rPr>
      <w:rFonts w:ascii="宋体" w:hAnsi="宋体"/>
      <w:b/>
      <w:bCs/>
      <w:caps/>
      <w:szCs w:val="21"/>
    </w:rPr>
  </w:style>
  <w:style w:type="paragraph" w:styleId="22">
    <w:name w:val="List"/>
    <w:basedOn w:val="1"/>
    <w:autoRedefine/>
    <w:qFormat/>
    <w:uiPriority w:val="0"/>
    <w:pPr>
      <w:ind w:left="200" w:hanging="200" w:hangingChars="200"/>
    </w:pPr>
    <w:rPr>
      <w:sz w:val="28"/>
    </w:rPr>
  </w:style>
  <w:style w:type="paragraph" w:styleId="23">
    <w:name w:val="toc 6"/>
    <w:basedOn w:val="1"/>
    <w:next w:val="1"/>
    <w:autoRedefine/>
    <w:qFormat/>
    <w:uiPriority w:val="0"/>
    <w:pPr>
      <w:ind w:left="2100" w:leftChars="1000"/>
    </w:pPr>
    <w:rPr>
      <w:szCs w:val="22"/>
    </w:rPr>
  </w:style>
  <w:style w:type="paragraph" w:styleId="24">
    <w:name w:val="Normal (Web)"/>
    <w:basedOn w:val="1"/>
    <w:autoRedefine/>
    <w:qFormat/>
    <w:uiPriority w:val="0"/>
    <w:pPr>
      <w:spacing w:before="100" w:beforeAutospacing="1" w:after="100" w:afterAutospacing="1"/>
    </w:pPr>
    <w:rPr>
      <w:rFonts w:ascii="Arial Unicode MS" w:hAnsi="Arial Unicode MS" w:eastAsia="Times New Roman"/>
      <w:color w:val="000000"/>
      <w:sz w:val="24"/>
      <w:szCs w:val="24"/>
    </w:rPr>
  </w:style>
  <w:style w:type="paragraph" w:styleId="25">
    <w:name w:val="Title"/>
    <w:basedOn w:val="1"/>
    <w:next w:val="1"/>
    <w:autoRedefine/>
    <w:qFormat/>
    <w:uiPriority w:val="0"/>
    <w:pPr>
      <w:pBdr>
        <w:top w:val="single" w:color="A7BFDE" w:sz="8" w:space="10"/>
        <w:bottom w:val="single" w:color="9BBB59" w:sz="24" w:space="15"/>
      </w:pBdr>
      <w:jc w:val="center"/>
    </w:pPr>
    <w:rPr>
      <w:rFonts w:ascii="宋体" w:hAnsi="Courier New" w:eastAsia="宋体" w:cs="Courier New"/>
      <w:sz w:val="21"/>
      <w:szCs w:val="21"/>
    </w:rPr>
  </w:style>
  <w:style w:type="paragraph" w:styleId="26">
    <w:name w:val="Body Text First Indent 2"/>
    <w:basedOn w:val="14"/>
    <w:next w:val="1"/>
    <w:autoRedefine/>
    <w:qFormat/>
    <w:uiPriority w:val="0"/>
    <w:pPr>
      <w:tabs>
        <w:tab w:val="left" w:pos="0"/>
        <w:tab w:val="left" w:pos="993"/>
        <w:tab w:val="left" w:pos="1134"/>
      </w:tabs>
      <w:ind w:left="0" w:leftChars="0" w:firstLine="420"/>
    </w:pPr>
  </w:style>
  <w:style w:type="table" w:styleId="28">
    <w:name w:val="Table Grid"/>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autoRedefine/>
    <w:qFormat/>
    <w:uiPriority w:val="0"/>
    <w:rPr>
      <w:b/>
      <w:bCs/>
    </w:rPr>
  </w:style>
  <w:style w:type="character" w:styleId="31">
    <w:name w:val="page number"/>
    <w:basedOn w:val="29"/>
    <w:autoRedefine/>
    <w:qFormat/>
    <w:uiPriority w:val="0"/>
  </w:style>
  <w:style w:type="character" w:styleId="32">
    <w:name w:val="FollowedHyperlink"/>
    <w:autoRedefine/>
    <w:qFormat/>
    <w:uiPriority w:val="0"/>
    <w:rPr>
      <w:color w:val="800080"/>
      <w:u w:val="single"/>
    </w:rPr>
  </w:style>
  <w:style w:type="character" w:styleId="33">
    <w:name w:val="Emphasis"/>
    <w:basedOn w:val="29"/>
    <w:autoRedefine/>
    <w:qFormat/>
    <w:uiPriority w:val="0"/>
  </w:style>
  <w:style w:type="character" w:styleId="34">
    <w:name w:val="HTML Definition"/>
    <w:basedOn w:val="29"/>
    <w:autoRedefine/>
    <w:qFormat/>
    <w:uiPriority w:val="0"/>
  </w:style>
  <w:style w:type="character" w:styleId="35">
    <w:name w:val="HTML Typewriter"/>
    <w:basedOn w:val="29"/>
    <w:autoRedefine/>
    <w:qFormat/>
    <w:uiPriority w:val="0"/>
    <w:rPr>
      <w:rFonts w:ascii="monospace" w:hAnsi="monospace" w:eastAsia="monospace" w:cs="monospace"/>
      <w:sz w:val="20"/>
    </w:rPr>
  </w:style>
  <w:style w:type="character" w:styleId="36">
    <w:name w:val="HTML Acronym"/>
    <w:basedOn w:val="29"/>
    <w:autoRedefine/>
    <w:qFormat/>
    <w:uiPriority w:val="0"/>
  </w:style>
  <w:style w:type="character" w:styleId="37">
    <w:name w:val="HTML Variable"/>
    <w:basedOn w:val="29"/>
    <w:autoRedefine/>
    <w:qFormat/>
    <w:uiPriority w:val="0"/>
  </w:style>
  <w:style w:type="character" w:styleId="38">
    <w:name w:val="Hyperlink"/>
    <w:autoRedefine/>
    <w:qFormat/>
    <w:uiPriority w:val="99"/>
    <w:rPr>
      <w:color w:val="0000FF"/>
      <w:u w:val="single"/>
    </w:rPr>
  </w:style>
  <w:style w:type="character" w:styleId="39">
    <w:name w:val="HTML Code"/>
    <w:basedOn w:val="29"/>
    <w:autoRedefine/>
    <w:qFormat/>
    <w:uiPriority w:val="0"/>
    <w:rPr>
      <w:rFonts w:hint="default" w:ascii="monospace" w:hAnsi="monospace" w:eastAsia="monospace" w:cs="monospace"/>
      <w:sz w:val="20"/>
    </w:rPr>
  </w:style>
  <w:style w:type="character" w:styleId="40">
    <w:name w:val="annotation reference"/>
    <w:autoRedefine/>
    <w:qFormat/>
    <w:uiPriority w:val="0"/>
    <w:rPr>
      <w:sz w:val="21"/>
      <w:szCs w:val="21"/>
    </w:rPr>
  </w:style>
  <w:style w:type="character" w:styleId="41">
    <w:name w:val="HTML Cite"/>
    <w:basedOn w:val="29"/>
    <w:autoRedefine/>
    <w:qFormat/>
    <w:uiPriority w:val="0"/>
  </w:style>
  <w:style w:type="character" w:styleId="42">
    <w:name w:val="HTML Keyboard"/>
    <w:basedOn w:val="29"/>
    <w:autoRedefine/>
    <w:qFormat/>
    <w:uiPriority w:val="0"/>
    <w:rPr>
      <w:rFonts w:hint="default" w:ascii="monospace" w:hAnsi="monospace" w:eastAsia="monospace" w:cs="monospace"/>
      <w:sz w:val="20"/>
    </w:rPr>
  </w:style>
  <w:style w:type="character" w:styleId="43">
    <w:name w:val="HTML Sample"/>
    <w:basedOn w:val="29"/>
    <w:autoRedefine/>
    <w:qFormat/>
    <w:uiPriority w:val="0"/>
    <w:rPr>
      <w:rFonts w:hint="default" w:ascii="monospace" w:hAnsi="monospace" w:eastAsia="monospace" w:cs="monospace"/>
    </w:rPr>
  </w:style>
  <w:style w:type="paragraph" w:customStyle="1" w:styleId="44">
    <w:name w:val="无间距1"/>
    <w:autoRedefine/>
    <w:qFormat/>
    <w:uiPriority w:val="0"/>
    <w:pPr>
      <w:widowControl w:val="0"/>
      <w:jc w:val="both"/>
    </w:pPr>
    <w:rPr>
      <w:rFonts w:ascii="Calibri" w:hAnsi="Calibri" w:eastAsia="微软雅黑 Light" w:cs="Times New Roman"/>
      <w:kern w:val="2"/>
      <w:sz w:val="24"/>
      <w:szCs w:val="22"/>
      <w:lang w:val="en-US" w:eastAsia="zh-CN" w:bidi="ar-SA"/>
    </w:rPr>
  </w:style>
  <w:style w:type="paragraph" w:customStyle="1" w:styleId="45">
    <w:name w:val="章正文"/>
    <w:basedOn w:val="1"/>
    <w:autoRedefine/>
    <w:qFormat/>
    <w:uiPriority w:val="0"/>
    <w:pPr>
      <w:spacing w:before="156" w:beforeLines="50" w:after="120" w:line="300" w:lineRule="auto"/>
      <w:ind w:firstLine="480"/>
    </w:pPr>
    <w:rPr>
      <w:rFonts w:ascii="Helvetica" w:hAnsi="Helvetica"/>
      <w:kern w:val="0"/>
      <w:sz w:val="24"/>
    </w:rPr>
  </w:style>
  <w:style w:type="character" w:customStyle="1" w:styleId="46">
    <w:name w:val="标题 3 Char"/>
    <w:link w:val="5"/>
    <w:autoRedefine/>
    <w:qFormat/>
    <w:uiPriority w:val="0"/>
    <w:rPr>
      <w:rFonts w:eastAsia="宋体"/>
      <w:b/>
      <w:bCs/>
      <w:sz w:val="32"/>
      <w:szCs w:val="32"/>
      <w:lang w:bidi="ar-SA"/>
    </w:rPr>
  </w:style>
  <w:style w:type="character" w:customStyle="1" w:styleId="47">
    <w:name w:val="hang1"/>
    <w:basedOn w:val="29"/>
    <w:autoRedefine/>
    <w:qFormat/>
    <w:uiPriority w:val="0"/>
  </w:style>
  <w:style w:type="character" w:customStyle="1" w:styleId="48">
    <w:name w:val="font01"/>
    <w:basedOn w:val="29"/>
    <w:autoRedefine/>
    <w:qFormat/>
    <w:uiPriority w:val="0"/>
    <w:rPr>
      <w:rFonts w:hint="eastAsia" w:ascii="宋体" w:hAnsi="宋体" w:eastAsia="宋体" w:cs="宋体"/>
      <w:color w:val="000000"/>
      <w:sz w:val="22"/>
      <w:szCs w:val="22"/>
      <w:u w:val="none"/>
    </w:rPr>
  </w:style>
  <w:style w:type="character" w:customStyle="1" w:styleId="49">
    <w:name w:val="正文首行缩进 Char"/>
    <w:link w:val="13"/>
    <w:autoRedefine/>
    <w:qFormat/>
    <w:uiPriority w:val="0"/>
    <w:rPr>
      <w:rFonts w:eastAsia="楷体_GB2312"/>
      <w:kern w:val="2"/>
      <w:sz w:val="21"/>
      <w:lang w:bidi="ar-SA"/>
    </w:rPr>
  </w:style>
  <w:style w:type="character" w:customStyle="1" w:styleId="50">
    <w:name w:val="正文缩进 Char"/>
    <w:link w:val="7"/>
    <w:autoRedefine/>
    <w:qFormat/>
    <w:uiPriority w:val="0"/>
    <w:rPr>
      <w:rFonts w:eastAsia="宋体"/>
      <w:sz w:val="21"/>
      <w:lang w:bidi="ar-SA"/>
    </w:rPr>
  </w:style>
  <w:style w:type="character" w:customStyle="1" w:styleId="51">
    <w:name w:val="页眉 Char"/>
    <w:autoRedefine/>
    <w:qFormat/>
    <w:uiPriority w:val="0"/>
    <w:rPr>
      <w:kern w:val="2"/>
      <w:sz w:val="18"/>
      <w:szCs w:val="18"/>
    </w:rPr>
  </w:style>
  <w:style w:type="character" w:customStyle="1" w:styleId="52">
    <w:name w:val="文档结构图 Char"/>
    <w:link w:val="10"/>
    <w:autoRedefine/>
    <w:semiHidden/>
    <w:qFormat/>
    <w:uiPriority w:val="0"/>
    <w:rPr>
      <w:rFonts w:ascii="宋体" w:eastAsia="宋体"/>
      <w:sz w:val="18"/>
      <w:szCs w:val="18"/>
      <w:lang w:bidi="ar-SA"/>
    </w:rPr>
  </w:style>
  <w:style w:type="character" w:customStyle="1" w:styleId="53">
    <w:name w:val="apple-style-span"/>
    <w:autoRedefine/>
    <w:qFormat/>
    <w:uiPriority w:val="0"/>
  </w:style>
  <w:style w:type="character" w:customStyle="1" w:styleId="54">
    <w:name w:val="标题 1 Char"/>
    <w:link w:val="3"/>
    <w:autoRedefine/>
    <w:qFormat/>
    <w:uiPriority w:val="0"/>
    <w:rPr>
      <w:rFonts w:ascii="宋体" w:eastAsia="宋体"/>
      <w:b/>
      <w:kern w:val="44"/>
      <w:sz w:val="24"/>
      <w:lang w:bidi="ar-SA"/>
    </w:rPr>
  </w:style>
  <w:style w:type="character" w:customStyle="1" w:styleId="55">
    <w:name w:val="纯文本 Char Char Char Char Char Char Char Char Char Char Char Char Char Char3"/>
    <w:autoRedefine/>
    <w:qFormat/>
    <w:uiPriority w:val="0"/>
    <w:rPr>
      <w:rFonts w:ascii="宋体" w:hAnsi="Courier New"/>
      <w:sz w:val="18"/>
      <w:lang w:bidi="ar-SA"/>
    </w:rPr>
  </w:style>
  <w:style w:type="character" w:customStyle="1" w:styleId="56">
    <w:name w:val="批注框文本 Char"/>
    <w:link w:val="18"/>
    <w:autoRedefine/>
    <w:semiHidden/>
    <w:qFormat/>
    <w:uiPriority w:val="0"/>
    <w:rPr>
      <w:rFonts w:eastAsia="宋体"/>
      <w:sz w:val="18"/>
      <w:szCs w:val="18"/>
      <w:lang w:bidi="ar-SA"/>
    </w:rPr>
  </w:style>
  <w:style w:type="character" w:customStyle="1" w:styleId="57">
    <w:name w:val="标题 2 Char"/>
    <w:link w:val="4"/>
    <w:autoRedefine/>
    <w:semiHidden/>
    <w:qFormat/>
    <w:uiPriority w:val="0"/>
    <w:rPr>
      <w:rFonts w:ascii="Cambria" w:hAnsi="Cambria" w:eastAsia="宋体"/>
      <w:b/>
      <w:bCs/>
      <w:sz w:val="32"/>
      <w:szCs w:val="32"/>
      <w:lang w:bidi="ar-SA"/>
    </w:rPr>
  </w:style>
  <w:style w:type="character" w:customStyle="1" w:styleId="58">
    <w:name w:val="页脚 Char"/>
    <w:link w:val="19"/>
    <w:autoRedefine/>
    <w:qFormat/>
    <w:uiPriority w:val="0"/>
    <w:rPr>
      <w:rFonts w:eastAsia="宋体"/>
      <w:sz w:val="18"/>
      <w:lang w:bidi="ar-SA"/>
    </w:rPr>
  </w:style>
  <w:style w:type="character" w:customStyle="1" w:styleId="59">
    <w:name w:val="正文文本 Char"/>
    <w:link w:val="12"/>
    <w:autoRedefine/>
    <w:qFormat/>
    <w:uiPriority w:val="0"/>
    <w:rPr>
      <w:rFonts w:ascii="楷体_GB2312" w:eastAsia="楷体_GB2312"/>
      <w:kern w:val="2"/>
      <w:sz w:val="32"/>
      <w:lang w:bidi="ar-SA"/>
    </w:rPr>
  </w:style>
  <w:style w:type="character" w:customStyle="1" w:styleId="60">
    <w:name w:val="Normal Indent Char"/>
    <w:autoRedefine/>
    <w:qFormat/>
    <w:locked/>
    <w:uiPriority w:val="0"/>
    <w:rPr>
      <w:rFonts w:ascii="Calibri" w:hAnsi="Calibri" w:eastAsia="宋体"/>
      <w:kern w:val="2"/>
      <w:sz w:val="21"/>
    </w:rPr>
  </w:style>
  <w:style w:type="character" w:customStyle="1" w:styleId="61">
    <w:name w:val="页眉 Char1"/>
    <w:link w:val="20"/>
    <w:autoRedefine/>
    <w:qFormat/>
    <w:uiPriority w:val="0"/>
    <w:rPr>
      <w:rFonts w:eastAsia="宋体"/>
      <w:sz w:val="18"/>
      <w:szCs w:val="18"/>
      <w:lang w:bidi="ar-SA"/>
    </w:rPr>
  </w:style>
  <w:style w:type="character" w:customStyle="1" w:styleId="62">
    <w:name w:val="纯文本 Char"/>
    <w:link w:val="16"/>
    <w:autoRedefine/>
    <w:qFormat/>
    <w:uiPriority w:val="0"/>
    <w:rPr>
      <w:rFonts w:ascii="宋体" w:hAnsi="Courier New" w:eastAsia="宋体"/>
      <w:kern w:val="2"/>
      <w:sz w:val="21"/>
      <w:lang w:bidi="ar-SA"/>
    </w:rPr>
  </w:style>
  <w:style w:type="character" w:customStyle="1" w:styleId="63">
    <w:name w:val="neinongs1"/>
    <w:autoRedefine/>
    <w:qFormat/>
    <w:uiPriority w:val="0"/>
  </w:style>
  <w:style w:type="character" w:customStyle="1" w:styleId="64">
    <w:name w:val="NormalCharacter"/>
    <w:autoRedefine/>
    <w:semiHidden/>
    <w:qFormat/>
    <w:uiPriority w:val="0"/>
  </w:style>
  <w:style w:type="paragraph" w:customStyle="1" w:styleId="65">
    <w:name w:val="_Style 7"/>
    <w:basedOn w:val="12"/>
    <w:next w:val="13"/>
    <w:autoRedefine/>
    <w:qFormat/>
    <w:uiPriority w:val="0"/>
    <w:pPr>
      <w:widowControl/>
      <w:ind w:firstLine="420" w:firstLineChars="100"/>
      <w:jc w:val="left"/>
    </w:pPr>
    <w:rPr>
      <w:rFonts w:ascii="Times New Roman"/>
    </w:rPr>
  </w:style>
  <w:style w:type="paragraph" w:customStyle="1" w:styleId="66">
    <w:name w:val="纯文本1"/>
    <w:basedOn w:val="67"/>
    <w:autoRedefine/>
    <w:qFormat/>
    <w:uiPriority w:val="0"/>
    <w:pPr>
      <w:widowControl/>
      <w:jc w:val="left"/>
    </w:pPr>
    <w:rPr>
      <w:rFonts w:ascii="宋体" w:hAnsi="Courier New"/>
    </w:rPr>
  </w:style>
  <w:style w:type="paragraph" w:customStyle="1" w:styleId="67">
    <w:name w:val="正文1"/>
    <w:basedOn w:val="15"/>
    <w:next w:val="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8">
    <w:name w:val="Char Char Char Char Char Char Char"/>
    <w:basedOn w:val="1"/>
    <w:autoRedefine/>
    <w:qFormat/>
    <w:uiPriority w:val="0"/>
    <w:pPr>
      <w:widowControl w:val="0"/>
      <w:jc w:val="both"/>
    </w:pPr>
    <w:rPr>
      <w:rFonts w:ascii="仿宋_GB2312" w:eastAsia="仿宋_GB2312"/>
      <w:b/>
      <w:kern w:val="2"/>
      <w:sz w:val="32"/>
      <w:szCs w:val="32"/>
    </w:rPr>
  </w:style>
  <w:style w:type="paragraph" w:customStyle="1" w:styleId="69">
    <w:name w:val="List Paragraph"/>
    <w:basedOn w:val="1"/>
    <w:autoRedefine/>
    <w:qFormat/>
    <w:uiPriority w:val="99"/>
    <w:pPr>
      <w:ind w:firstLine="420" w:firstLineChars="200"/>
    </w:pPr>
  </w:style>
  <w:style w:type="paragraph" w:customStyle="1" w:styleId="70">
    <w:name w:val="正文首行缩进1"/>
    <w:basedOn w:val="12"/>
    <w:autoRedefine/>
    <w:qFormat/>
    <w:uiPriority w:val="0"/>
    <w:pPr>
      <w:spacing w:after="120" w:line="240" w:lineRule="auto"/>
      <w:ind w:firstLine="420" w:firstLineChars="100"/>
    </w:pPr>
    <w:rPr>
      <w:rFonts w:ascii="Times New Roman" w:eastAsia="宋体"/>
      <w:sz w:val="21"/>
      <w:szCs w:val="24"/>
    </w:rPr>
  </w:style>
  <w:style w:type="paragraph" w:customStyle="1" w:styleId="71">
    <w:name w:val="Body Text First Indent1"/>
    <w:basedOn w:val="12"/>
    <w:autoRedefine/>
    <w:qFormat/>
    <w:uiPriority w:val="99"/>
    <w:pPr>
      <w:adjustRightInd w:val="0"/>
      <w:spacing w:after="120"/>
      <w:ind w:firstLine="420"/>
      <w:textAlignment w:val="baseline"/>
    </w:pPr>
    <w:rPr>
      <w:sz w:val="24"/>
    </w:rPr>
  </w:style>
  <w:style w:type="paragraph" w:customStyle="1" w:styleId="72">
    <w:name w:val="表格文字"/>
    <w:basedOn w:val="1"/>
    <w:next w:val="12"/>
    <w:autoRedefine/>
    <w:qFormat/>
    <w:uiPriority w:val="0"/>
    <w:pPr>
      <w:widowControl w:val="0"/>
    </w:pPr>
    <w:rPr>
      <w:rFonts w:ascii="Calibri" w:hAnsi="Calibri"/>
      <w:kern w:val="21"/>
      <w:szCs w:val="21"/>
    </w:rPr>
  </w:style>
  <w:style w:type="paragraph" w:customStyle="1" w:styleId="73">
    <w:name w:val="列出段落1"/>
    <w:basedOn w:val="1"/>
    <w:autoRedefine/>
    <w:qFormat/>
    <w:uiPriority w:val="0"/>
    <w:pPr>
      <w:ind w:firstLine="420" w:firstLineChars="200"/>
    </w:pPr>
  </w:style>
  <w:style w:type="paragraph" w:customStyle="1" w:styleId="74">
    <w:name w:val="Char Char Char1 Char Char Char Char Char Char Char Char Char1"/>
    <w:basedOn w:val="1"/>
    <w:autoRedefine/>
    <w:qFormat/>
    <w:uiPriority w:val="0"/>
    <w:pPr>
      <w:spacing w:after="160" w:line="240" w:lineRule="exact"/>
    </w:pPr>
    <w:rPr>
      <w:kern w:val="2"/>
      <w:szCs w:val="24"/>
    </w:rPr>
  </w:style>
  <w:style w:type="paragraph" w:customStyle="1" w:styleId="75">
    <w:name w:val="Char Char Char"/>
    <w:basedOn w:val="1"/>
    <w:autoRedefine/>
    <w:qFormat/>
    <w:uiPriority w:val="0"/>
    <w:pPr>
      <w:widowControl w:val="0"/>
      <w:jc w:val="both"/>
    </w:pPr>
    <w:rPr>
      <w:kern w:val="2"/>
    </w:rPr>
  </w:style>
  <w:style w:type="paragraph" w:customStyle="1" w:styleId="76">
    <w:name w:val="正文11"/>
    <w:basedOn w:val="1"/>
    <w:autoRedefine/>
    <w:qFormat/>
    <w:uiPriority w:val="0"/>
    <w:pPr>
      <w:adjustRightInd w:val="0"/>
      <w:spacing w:line="318" w:lineRule="atLeast"/>
      <w:ind w:left="369" w:firstLine="369"/>
      <w:textAlignment w:val="baseline"/>
    </w:pPr>
    <w:rPr>
      <w:rFonts w:ascii="宋体"/>
    </w:rPr>
  </w:style>
  <w:style w:type="paragraph" w:customStyle="1" w:styleId="77">
    <w:name w:val="Char Char"/>
    <w:basedOn w:val="1"/>
    <w:autoRedefine/>
    <w:qFormat/>
    <w:uiPriority w:val="0"/>
    <w:pPr>
      <w:widowControl w:val="0"/>
      <w:jc w:val="both"/>
    </w:pPr>
    <w:rPr>
      <w:rFonts w:ascii="仿宋_GB2312" w:eastAsia="仿宋_GB2312"/>
      <w:b/>
      <w:kern w:val="2"/>
      <w:sz w:val="32"/>
      <w:szCs w:val="32"/>
    </w:rPr>
  </w:style>
  <w:style w:type="paragraph" w:customStyle="1" w:styleId="78">
    <w:name w:val="Char Char Char Char Char Char Char Char Char Char Char Char Char"/>
    <w:basedOn w:val="1"/>
    <w:autoRedefine/>
    <w:qFormat/>
    <w:uiPriority w:val="0"/>
    <w:pPr>
      <w:widowControl w:val="0"/>
      <w:jc w:val="both"/>
    </w:pPr>
    <w:rPr>
      <w:rFonts w:ascii="仿宋_GB2312" w:hAnsi="宋体" w:eastAsia="仿宋_GB2312" w:cs="宋体"/>
      <w:b/>
      <w:bCs/>
      <w:color w:val="000000"/>
      <w:szCs w:val="21"/>
    </w:rPr>
  </w:style>
  <w:style w:type="paragraph" w:customStyle="1" w:styleId="79">
    <w:name w:val="xl35"/>
    <w:basedOn w:val="1"/>
    <w:autoRedefine/>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8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样式 正文文本缩进 + 左  0 字符"/>
    <w:basedOn w:val="14"/>
    <w:autoRedefine/>
    <w:qFormat/>
    <w:uiPriority w:val="0"/>
    <w:pPr>
      <w:widowControl w:val="0"/>
      <w:spacing w:after="0" w:line="360" w:lineRule="auto"/>
      <w:ind w:left="0" w:leftChars="0" w:firstLine="250" w:firstLineChars="250"/>
      <w:jc w:val="both"/>
    </w:pPr>
    <w:rPr>
      <w:kern w:val="2"/>
      <w:sz w:val="24"/>
    </w:rPr>
  </w:style>
  <w:style w:type="paragraph" w:customStyle="1" w:styleId="82">
    <w:name w:val="Char Char1 Char Char Char Char Char Char"/>
    <w:basedOn w:val="1"/>
    <w:autoRedefine/>
    <w:qFormat/>
    <w:uiPriority w:val="0"/>
    <w:pPr>
      <w:widowControl w:val="0"/>
      <w:spacing w:line="600" w:lineRule="exact"/>
      <w:jc w:val="both"/>
    </w:pPr>
    <w:rPr>
      <w:rFonts w:ascii="ˎ̥" w:hAnsi="ˎ̥" w:cs="宋体"/>
    </w:rPr>
  </w:style>
  <w:style w:type="paragraph" w:customStyle="1" w:styleId="83">
    <w:name w:val="Indent a)"/>
    <w:basedOn w:val="1"/>
    <w:autoRedefine/>
    <w:qFormat/>
    <w:uiPriority w:val="0"/>
    <w:pPr>
      <w:tabs>
        <w:tab w:val="left" w:pos="1843"/>
        <w:tab w:val="right" w:pos="9072"/>
      </w:tabs>
      <w:suppressAutoHyphens/>
      <w:spacing w:line="360" w:lineRule="auto"/>
      <w:ind w:right="-21" w:rightChars="-10" w:firstLine="420" w:firstLineChars="175"/>
    </w:pPr>
    <w:rPr>
      <w:sz w:val="24"/>
    </w:rPr>
  </w:style>
  <w:style w:type="paragraph" w:customStyle="1" w:styleId="84">
    <w:name w:val="投标正文"/>
    <w:basedOn w:val="1"/>
    <w:autoRedefine/>
    <w:qFormat/>
    <w:uiPriority w:val="0"/>
    <w:pPr>
      <w:spacing w:line="360" w:lineRule="auto"/>
      <w:ind w:left="102" w:firstLine="200" w:firstLineChars="200"/>
    </w:pPr>
    <w:rPr>
      <w:sz w:val="24"/>
    </w:rPr>
  </w:style>
  <w:style w:type="paragraph" w:customStyle="1" w:styleId="85">
    <w:name w:val="p0"/>
    <w:basedOn w:val="1"/>
    <w:autoRedefine/>
    <w:unhideWhenUsed/>
    <w:qFormat/>
    <w:uiPriority w:val="0"/>
    <w:pPr>
      <w:widowControl/>
      <w:spacing w:line="324" w:lineRule="auto"/>
    </w:pPr>
    <w:rPr>
      <w:rFonts w:hint="eastAsia" w:ascii="Times New Roman" w:hAnsi="Times New Roman" w:eastAsia="仿宋_GB2312"/>
      <w:sz w:val="24"/>
      <w:szCs w:val="20"/>
    </w:rPr>
  </w:style>
  <w:style w:type="paragraph" w:customStyle="1" w:styleId="86">
    <w:name w:val="*正文"/>
    <w:basedOn w:val="1"/>
    <w:autoRedefine/>
    <w:qFormat/>
    <w:uiPriority w:val="0"/>
    <w:pPr>
      <w:widowControl w:val="0"/>
      <w:ind w:firstLine="560" w:firstLineChars="200"/>
    </w:pPr>
    <w:rPr>
      <w:rFonts w:ascii="Times New Roman" w:hAnsi="Times New Roman" w:eastAsia="仿宋_GB2312" w:cs="仿宋_GB2312"/>
      <w:kern w:val="2"/>
      <w:sz w:val="28"/>
      <w:shd w:val="clear" w:color="auto" w:fill="FFFFFF"/>
    </w:rPr>
  </w:style>
  <w:style w:type="paragraph" w:customStyle="1" w:styleId="87">
    <w:name w:val="本文-正文"/>
    <w:basedOn w:val="1"/>
    <w:next w:val="1"/>
    <w:autoRedefine/>
    <w:qFormat/>
    <w:uiPriority w:val="0"/>
    <w:pPr>
      <w:widowControl w:val="0"/>
      <w:spacing w:line="360" w:lineRule="auto"/>
      <w:ind w:firstLine="200" w:firstLineChars="200"/>
      <w:jc w:val="both"/>
    </w:pPr>
    <w:rPr>
      <w:rFonts w:ascii="Times New Roman" w:hAnsi="Times New Roman" w:cs="Times New Roman"/>
      <w:kern w:val="2"/>
      <w:sz w:val="28"/>
    </w:rPr>
  </w:style>
  <w:style w:type="paragraph" w:customStyle="1" w:styleId="88">
    <w:name w:val="Normal Indent1"/>
    <w:basedOn w:val="1"/>
    <w:autoRedefine/>
    <w:qFormat/>
    <w:uiPriority w:val="0"/>
    <w:pPr>
      <w:ind w:firstLine="420"/>
    </w:pPr>
    <w:rPr>
      <w:rFonts w:ascii="Times New Roman" w:hAnsi="Times New Roman" w:eastAsia="宋体" w:cs="Times New Roman"/>
    </w:rPr>
  </w:style>
  <w:style w:type="paragraph" w:customStyle="1" w:styleId="89">
    <w:name w:val="Body text|1"/>
    <w:basedOn w:val="1"/>
    <w:autoRedefine/>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 w:type="paragraph" w:customStyle="1" w:styleId="90">
    <w:name w:val="Heading1"/>
    <w:basedOn w:val="1"/>
    <w:next w:val="1"/>
    <w:autoRedefine/>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91">
    <w:name w:val="Plain Text"/>
    <w:basedOn w:val="1"/>
    <w:autoRedefine/>
    <w:qFormat/>
    <w:uiPriority w:val="0"/>
    <w:pPr>
      <w:adjustRightInd w:val="0"/>
      <w:textAlignment w:val="baseline"/>
    </w:pPr>
    <w:rPr>
      <w:rFonts w:ascii="宋体" w:hAnsi="Courier New" w:eastAsia="楷体_GB2312"/>
      <w:sz w:val="26"/>
      <w:szCs w:val="20"/>
    </w:rPr>
  </w:style>
  <w:style w:type="character" w:customStyle="1" w:styleId="92">
    <w:name w:val="font11"/>
    <w:basedOn w:val="29"/>
    <w:autoRedefine/>
    <w:qFormat/>
    <w:uiPriority w:val="0"/>
    <w:rPr>
      <w:rFonts w:hint="eastAsia" w:ascii="宋体" w:hAnsi="宋体" w:eastAsia="宋体" w:cs="宋体"/>
      <w:b/>
      <w:color w:val="000000"/>
      <w:sz w:val="18"/>
      <w:szCs w:val="18"/>
      <w:u w:val="none"/>
    </w:rPr>
  </w:style>
  <w:style w:type="paragraph" w:customStyle="1" w:styleId="93">
    <w:name w:val=" Char Char Char1 Char Char Char Char Char Char Char Char Char1"/>
    <w:basedOn w:val="1"/>
    <w:autoRedefine/>
    <w:qFormat/>
    <w:uiPriority w:val="0"/>
    <w:pPr>
      <w:spacing w:after="160" w:line="240" w:lineRule="exact"/>
    </w:pPr>
    <w:rPr>
      <w:rFonts w:ascii="Times New Roman" w:hAnsi="Times New Roman" w:cs="Times New Roman"/>
      <w:kern w:val="2"/>
      <w:sz w:val="21"/>
    </w:rPr>
  </w:style>
  <w:style w:type="paragraph" w:customStyle="1" w:styleId="94">
    <w:name w:val="BZ_列举"/>
    <w:basedOn w:val="1"/>
    <w:autoRedefine/>
    <w:qFormat/>
    <w:uiPriority w:val="0"/>
    <w:pPr>
      <w:numPr>
        <w:ilvl w:val="0"/>
        <w:numId w:val="1"/>
      </w:numPr>
      <w:tabs>
        <w:tab w:val="left" w:pos="0"/>
      </w:tabs>
      <w:spacing w:line="360" w:lineRule="auto"/>
      <w:jc w:val="both"/>
    </w:pPr>
    <w:rPr>
      <w:rFonts w:ascii="Times New Roman" w:hAnsi="Times New Roman" w:cs="Times New Roman"/>
      <w:kern w:val="2"/>
    </w:rPr>
  </w:style>
  <w:style w:type="paragraph" w:customStyle="1" w:styleId="95">
    <w:name w:val="样式1"/>
    <w:basedOn w:val="1"/>
    <w:autoRedefine/>
    <w:qFormat/>
    <w:uiPriority w:val="0"/>
    <w:pPr>
      <w:spacing w:line="360" w:lineRule="exact"/>
      <w:ind w:firstLine="200" w:firstLineChars="200"/>
    </w:pPr>
    <w:rPr>
      <w:rFonts w:ascii="Arial" w:hAnsi="Arial"/>
    </w:rPr>
  </w:style>
  <w:style w:type="paragraph" w:customStyle="1" w:styleId="96">
    <w:name w:val="Table Text"/>
    <w:basedOn w:val="1"/>
    <w:autoRedefine/>
    <w:semiHidden/>
    <w:qFormat/>
    <w:uiPriority w:val="0"/>
    <w:rPr>
      <w:rFonts w:ascii="微软雅黑" w:hAnsi="微软雅黑" w:eastAsia="微软雅黑" w:cs="微软雅黑"/>
      <w:sz w:val="24"/>
      <w:szCs w:val="24"/>
      <w:lang w:val="en-US" w:eastAsia="en-US" w:bidi="ar-SA"/>
    </w:rPr>
  </w:style>
  <w:style w:type="paragraph" w:customStyle="1" w:styleId="97">
    <w:name w:val="正文_new"/>
    <w:basedOn w:val="1"/>
    <w:autoRedefine/>
    <w:qFormat/>
    <w:uiPriority w:val="0"/>
    <w:pPr>
      <w:adjustRightInd w:val="0"/>
      <w:snapToGrid w:val="0"/>
      <w:spacing w:line="360" w:lineRule="auto"/>
      <w:ind w:firstLine="480" w:firstLineChars="200"/>
    </w:pPr>
    <w:rPr>
      <w:rFonts w:ascii="Times New Roman" w:hAnsi="Times New Roman"/>
    </w:rPr>
  </w:style>
  <w:style w:type="paragraph" w:customStyle="1" w:styleId="98">
    <w:name w:val="正文2"/>
    <w:basedOn w:val="1"/>
    <w:autoRedefine/>
    <w:qFormat/>
    <w:uiPriority w:val="0"/>
    <w:pPr>
      <w:spacing w:before="156" w:after="100" w:afterAutospacing="1" w:line="360" w:lineRule="auto"/>
      <w:ind w:firstLine="510" w:firstLineChars="200"/>
    </w:pPr>
    <w:rPr>
      <w:rFonts w:cs="Calibri"/>
      <w:sz w:val="24"/>
    </w:rPr>
  </w:style>
  <w:style w:type="character" w:customStyle="1" w:styleId="99">
    <w:name w:val="font21"/>
    <w:basedOn w:val="29"/>
    <w:autoRedefine/>
    <w:qFormat/>
    <w:uiPriority w:val="0"/>
    <w:rPr>
      <w:rFonts w:hint="eastAsia" w:ascii="宋体" w:hAnsi="宋体" w:eastAsia="宋体" w:cs="宋体"/>
      <w:b/>
      <w:bCs/>
      <w:color w:val="000000"/>
      <w:sz w:val="20"/>
      <w:szCs w:val="20"/>
      <w:u w:val="none"/>
    </w:rPr>
  </w:style>
  <w:style w:type="paragraph" w:customStyle="1" w:styleId="100">
    <w:name w:val="正文段"/>
    <w:basedOn w:val="1"/>
    <w:autoRedefine/>
    <w:qFormat/>
    <w:uiPriority w:val="0"/>
    <w:pPr>
      <w:widowControl/>
      <w:snapToGrid w:val="0"/>
      <w:spacing w:after="50" w:afterLines="50"/>
      <w:ind w:firstLine="200" w:firstLineChars="200"/>
    </w:pPr>
    <w:rPr>
      <w:kern w:val="0"/>
      <w:sz w:val="24"/>
      <w:szCs w:val="20"/>
    </w:rPr>
  </w:style>
  <w:style w:type="paragraph" w:customStyle="1" w:styleId="101">
    <w:name w:val="默认段落字体 Para Char Char Char Char Char Char Char Char Char1 Char Char Char Char"/>
    <w:basedOn w:val="1"/>
    <w:autoRedefine/>
    <w:qFormat/>
    <w:uiPriority w:val="0"/>
    <w:rPr>
      <w:rFonts w:ascii="Tahoma" w:hAnsi="Tahoma"/>
      <w:sz w:val="24"/>
      <w:szCs w:val="20"/>
    </w:rPr>
  </w:style>
  <w:style w:type="paragraph" w:customStyle="1" w:styleId="102">
    <w:name w:val="Heading5"/>
    <w:basedOn w:val="1"/>
    <w:next w:val="1"/>
    <w:autoRedefine/>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29448</Words>
  <Characters>31762</Characters>
  <Lines>1</Lines>
  <Paragraphs>1</Paragraphs>
  <TotalTime>50</TotalTime>
  <ScaleCrop>false</ScaleCrop>
  <LinksUpToDate>false</LinksUpToDate>
  <CharactersWithSpaces>35204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2022-08-01T07:05:00Z</dcterms:created>
  <dc:creator>王桢之</dc:creator>
  <cp:lastModifiedBy>莫然</cp:lastModifiedBy>
  <cp:lastPrinted>2024-04-28T06:24:00Z</cp:lastPrinted>
  <dcterms:modified xsi:type="dcterms:W3CDTF">2024-04-28T08:09:05Z</dcterms:modified>
  <dc:title>竞争性谈判文件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F9C80F65C4864ED2A839024BE66287B7_13</vt:lpwstr>
  </property>
</Properties>
</file>