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cs="Times New Roman"/>
          <w:sz w:val="32"/>
          <w:szCs w:val="32"/>
          <w:highlight w:val="white"/>
          <w:lang w:eastAsia="zh-CN"/>
        </w:rPr>
      </w:pPr>
      <w:r>
        <w:rPr>
          <w:rFonts w:hint="eastAsia" w:cs="Times New Roman"/>
          <w:sz w:val="32"/>
          <w:szCs w:val="32"/>
          <w:highlight w:val="white"/>
          <w:lang w:eastAsia="zh-CN"/>
        </w:rPr>
        <w:t>技术需求</w:t>
      </w:r>
    </w:p>
    <w:p>
      <w:pPr>
        <w:bidi w:val="0"/>
        <w:spacing w:line="360" w:lineRule="auto"/>
        <w:jc w:val="both"/>
        <w:rPr>
          <w:rFonts w:hint="eastAsia" w:ascii="宋体" w:hAnsi="宋体" w:eastAsia="宋体" w:cs="宋体"/>
          <w:b/>
          <w:bCs/>
          <w:sz w:val="28"/>
          <w:szCs w:val="28"/>
          <w:lang w:eastAsia="zh-CN"/>
        </w:rPr>
      </w:pPr>
      <w:r>
        <w:rPr>
          <w:rFonts w:hint="eastAsia" w:ascii="宋体" w:hAnsi="宋体" w:eastAsia="宋体" w:cs="宋体"/>
          <w:b/>
          <w:bCs/>
          <w:sz w:val="28"/>
          <w:szCs w:val="28"/>
          <w:highlight w:val="white"/>
          <w:lang w:eastAsia="zh-CN"/>
        </w:rPr>
        <w:t>一、</w:t>
      </w:r>
      <w:r>
        <w:rPr>
          <w:rFonts w:hint="eastAsia" w:ascii="宋体" w:hAnsi="宋体" w:cs="宋体"/>
          <w:b/>
          <w:bCs/>
          <w:sz w:val="28"/>
          <w:szCs w:val="28"/>
          <w:highlight w:val="white"/>
          <w:lang w:eastAsia="zh-CN"/>
        </w:rPr>
        <w:t>招标</w:t>
      </w:r>
      <w:r>
        <w:rPr>
          <w:rFonts w:hint="eastAsia" w:ascii="宋体" w:hAnsi="宋体" w:eastAsia="宋体" w:cs="宋体"/>
          <w:b/>
          <w:bCs/>
          <w:sz w:val="28"/>
          <w:szCs w:val="28"/>
          <w:highlight w:val="white"/>
          <w:lang w:eastAsia="zh-CN"/>
        </w:rPr>
        <w:t>基本情况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highlight w:val="white"/>
          <w:lang w:val="en-US" w:eastAsia="zh-CN"/>
        </w:rPr>
      </w:pPr>
      <w:r>
        <w:rPr>
          <w:rFonts w:hint="eastAsia" w:ascii="宋体" w:hAnsi="宋体" w:eastAsia="宋体" w:cs="宋体"/>
          <w:sz w:val="28"/>
          <w:szCs w:val="28"/>
          <w:highlight w:val="white"/>
          <w:lang w:val="en-US" w:eastAsia="zh-CN"/>
        </w:rPr>
        <w:t xml:space="preserve"> </w:t>
      </w:r>
      <w:r>
        <w:rPr>
          <w:rFonts w:hint="eastAsia" w:ascii="宋体" w:hAnsi="宋体" w:eastAsia="宋体" w:cs="宋体"/>
          <w:color w:val="auto"/>
          <w:sz w:val="28"/>
          <w:szCs w:val="28"/>
          <w:highlight w:val="white"/>
          <w:lang w:val="en-US" w:eastAsia="zh-CN"/>
        </w:rPr>
        <w:t>我县林业面积大，在全县生态环境建设及经济社会发展中具有十分重要的地位，为切实做好我县林业有害生物防治工作，减少林产损失，经过2024年虫情调查，结合往年我县竹蝗、竹叶虫、竹笋夜蛾、加拿大一枝黄花等林业有害生物发生和防治情况，特制定本防治方案。</w:t>
      </w:r>
    </w:p>
    <w:p>
      <w:pPr>
        <w:bidi w:val="0"/>
        <w:spacing w:line="360" w:lineRule="auto"/>
        <w:jc w:val="both"/>
        <w:rPr>
          <w:rFonts w:hint="eastAsia" w:ascii="宋体" w:hAnsi="宋体" w:eastAsia="宋体" w:cs="宋体"/>
          <w:b/>
          <w:bCs/>
          <w:sz w:val="28"/>
          <w:szCs w:val="28"/>
          <w:highlight w:val="white"/>
          <w:lang w:val="en-US" w:eastAsia="zh-CN"/>
        </w:rPr>
      </w:pPr>
      <w:r>
        <w:rPr>
          <w:rFonts w:hint="eastAsia" w:ascii="宋体" w:hAnsi="宋体" w:eastAsia="宋体" w:cs="宋体"/>
          <w:b/>
          <w:bCs/>
          <w:sz w:val="28"/>
          <w:szCs w:val="28"/>
          <w:highlight w:val="white"/>
          <w:lang w:val="en-US" w:eastAsia="zh-CN"/>
        </w:rPr>
        <w:t>二、建设规模：</w:t>
      </w:r>
      <w:bookmarkStart w:id="0" w:name="_Hlk135238440"/>
    </w:p>
    <w:bookmarkEnd w:id="0"/>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sz w:val="32"/>
          <w:szCs w:val="32"/>
          <w:lang w:val="en-US" w:eastAsia="zh-CN"/>
        </w:rPr>
      </w:pPr>
      <w:bookmarkStart w:id="1" w:name="_Toc19432"/>
      <w:r>
        <w:rPr>
          <w:rFonts w:hint="eastAsia" w:ascii="宋体" w:hAnsi="宋体" w:eastAsia="宋体" w:cs="宋体"/>
          <w:color w:val="auto"/>
          <w:sz w:val="28"/>
          <w:szCs w:val="28"/>
          <w:highlight w:val="white"/>
          <w:lang w:val="en-US" w:eastAsia="zh-CN"/>
        </w:rPr>
        <w:t>在大塅镇、三都镇、温泉镇、永宁镇、花山林场、龙门林场、茶山林场、大沩山林场等林业有害生物发生严重区域进行防治，根据各单位上报的虫情调查情况及森防站核实情况，防治面积约为2.3万亩（详情见附件1）。</w:t>
      </w:r>
    </w:p>
    <w:p>
      <w:pPr>
        <w:bidi w:val="0"/>
        <w:spacing w:line="360" w:lineRule="auto"/>
        <w:jc w:val="both"/>
        <w:rPr>
          <w:rFonts w:hint="eastAsia" w:ascii="宋体" w:hAnsi="宋体" w:eastAsia="宋体" w:cs="宋体"/>
          <w:b/>
          <w:bCs/>
          <w:sz w:val="28"/>
          <w:szCs w:val="28"/>
          <w:highlight w:val="white"/>
          <w:lang w:val="en-US" w:eastAsia="zh-CN"/>
        </w:rPr>
      </w:pPr>
      <w:r>
        <w:rPr>
          <w:rFonts w:hint="eastAsia" w:ascii="宋体" w:hAnsi="宋体" w:eastAsia="宋体" w:cs="宋体"/>
          <w:b/>
          <w:bCs/>
          <w:sz w:val="28"/>
          <w:szCs w:val="28"/>
          <w:highlight w:val="white"/>
          <w:lang w:val="en-US" w:eastAsia="zh-CN"/>
        </w:rPr>
        <w:t>三、技术要求</w:t>
      </w:r>
    </w:p>
    <w:bookmarkEnd w:id="1"/>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highlight w:val="white"/>
          <w:lang w:val="en-US" w:eastAsia="zh-CN"/>
        </w:rPr>
      </w:pPr>
      <w:r>
        <w:rPr>
          <w:rFonts w:hint="eastAsia" w:ascii="宋体" w:hAnsi="宋体" w:eastAsia="宋体" w:cs="宋体"/>
          <w:color w:val="auto"/>
          <w:sz w:val="28"/>
          <w:szCs w:val="28"/>
          <w:highlight w:val="white"/>
          <w:lang w:val="en-US" w:eastAsia="zh-CN"/>
        </w:rPr>
        <w:t>1.毛竹虫害防治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highlight w:val="white"/>
          <w:lang w:val="en-US" w:eastAsia="zh-CN"/>
        </w:rPr>
      </w:pPr>
      <w:r>
        <w:rPr>
          <w:rFonts w:hint="eastAsia" w:ascii="宋体" w:hAnsi="宋体" w:eastAsia="宋体" w:cs="宋体"/>
          <w:color w:val="auto"/>
          <w:sz w:val="28"/>
          <w:szCs w:val="28"/>
          <w:highlight w:val="white"/>
          <w:lang w:val="en-US" w:eastAsia="zh-CN"/>
        </w:rPr>
        <w:t>毛竹虫害防治对象主要为竹蝗和竹笋夜蛾；防治时间在7月1日至7月31日进行防治，必须在时间节点内完成防治工作，确因天气原因无法按时完成则顺延；防治方式采用无人机飞防。无人机飞防为每架次飞防面积约为50亩左右；防治药剂为3%阿维菌素·高效氯氰菊酯乳油800-1000倍液，药剂需具备有效的农药“三证”。该药剂对生态影响较小，对人、畜无危害，不污染水源，但对蜂、虾有一定影响，作业时需要采取避让措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highlight w:val="white"/>
          <w:lang w:val="en-US" w:eastAsia="zh-CN"/>
        </w:rPr>
      </w:pPr>
      <w:r>
        <w:rPr>
          <w:rFonts w:hint="eastAsia" w:ascii="宋体" w:hAnsi="宋体" w:eastAsia="宋体" w:cs="宋体"/>
          <w:color w:val="auto"/>
          <w:sz w:val="28"/>
          <w:szCs w:val="28"/>
          <w:highlight w:val="white"/>
          <w:lang w:val="en-US" w:eastAsia="zh-CN"/>
        </w:rPr>
        <w:t>2.杉木虫害防治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highlight w:val="white"/>
          <w:lang w:val="en-US" w:eastAsia="zh-CN"/>
        </w:rPr>
      </w:pPr>
      <w:r>
        <w:rPr>
          <w:rFonts w:hint="eastAsia" w:ascii="宋体" w:hAnsi="宋体" w:eastAsia="宋体" w:cs="宋体"/>
          <w:color w:val="auto"/>
          <w:sz w:val="28"/>
          <w:szCs w:val="28"/>
          <w:highlight w:val="white"/>
          <w:lang w:val="en-US" w:eastAsia="zh-CN"/>
        </w:rPr>
        <w:t>杉木虫害防治对象为白蚁和杉肤小蠹；白蚁防治时间在9月30日前进行防治，防治方式采用人工喷雾和诱饵诱杀；杉肤小蠹防治时间在6月31日前进行防治，防治方式采用无人机飞防，无人机飞防为每架次飞防面积约为50亩左右；防治药剂为8%氯氰菊酯微胶囊800-1000倍液，药剂需具备有效的农药“三证”。该药剂对生态影响较小，对人、畜无危害，不污染水源，但对蜂、虾有一定影响，作业时需要采取避让措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highlight w:val="white"/>
          <w:lang w:val="en-US" w:eastAsia="zh-CN"/>
        </w:rPr>
      </w:pPr>
      <w:r>
        <w:rPr>
          <w:rFonts w:hint="eastAsia" w:ascii="宋体" w:hAnsi="宋体" w:eastAsia="宋体" w:cs="宋体"/>
          <w:color w:val="auto"/>
          <w:sz w:val="28"/>
          <w:szCs w:val="28"/>
          <w:highlight w:val="white"/>
          <w:lang w:val="en-US" w:eastAsia="zh-CN"/>
        </w:rPr>
        <w:t>3.加拿大一枝黄花除治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highlight w:val="white"/>
          <w:lang w:val="en-US" w:eastAsia="zh-CN"/>
        </w:rPr>
      </w:pPr>
      <w:r>
        <w:rPr>
          <w:rFonts w:hint="eastAsia" w:ascii="宋体" w:hAnsi="宋体" w:eastAsia="宋体" w:cs="宋体"/>
          <w:color w:val="auto"/>
          <w:sz w:val="28"/>
          <w:szCs w:val="28"/>
          <w:highlight w:val="white"/>
          <w:lang w:val="en-US" w:eastAsia="zh-CN"/>
        </w:rPr>
        <w:t>加拿大一枝黄花是一种具备高度适应性的破坏性外来入侵物种，繁殖及生长能力强，耐寒、耐瘠薄，生长优势明显。防治方式采用人工挖除焚烧和化学防治相结合；焚烧则为将其花穗剪去，把地上部分和块状茎拔出，集中焚烧干净，防止种子、根状茎和拔出部分的传播扩散；化学药剂防治则为在加拿大一枝黄花开花前后，用二甲四氯钠、草甘膦等灭生性除草剂及其复配剂防除，利用其内吸传导特性杀死地下部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b w:val="0"/>
          <w:bCs w:val="0"/>
          <w:sz w:val="32"/>
          <w:szCs w:val="32"/>
          <w:lang w:val="en-US" w:eastAsia="zh-CN"/>
        </w:rPr>
      </w:pPr>
      <w:bookmarkStart w:id="2" w:name="_Toc24207"/>
      <w:r>
        <w:rPr>
          <w:rFonts w:hint="eastAsia" w:ascii="黑体" w:hAnsi="黑体" w:eastAsia="黑体" w:cs="黑体"/>
          <w:b w:val="0"/>
          <w:bCs w:val="0"/>
          <w:sz w:val="32"/>
          <w:szCs w:val="32"/>
          <w:lang w:val="en-US" w:eastAsia="zh-CN"/>
        </w:rPr>
        <w:t>四、防治要求</w:t>
      </w:r>
      <w:bookmarkEnd w:id="2"/>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highlight w:val="white"/>
          <w:lang w:val="en-US" w:eastAsia="zh-CN"/>
        </w:rPr>
      </w:pPr>
      <w:r>
        <w:rPr>
          <w:rFonts w:hint="eastAsia" w:ascii="宋体" w:hAnsi="宋体" w:eastAsia="宋体" w:cs="宋体"/>
          <w:color w:val="auto"/>
          <w:sz w:val="28"/>
          <w:szCs w:val="28"/>
          <w:highlight w:val="white"/>
          <w:lang w:val="en-US" w:eastAsia="zh-CN"/>
        </w:rPr>
        <w:t>1.防治公司必须具备有效的营业执照、林业有害生物防治资质等相关资格证，防治经验丰富。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highlight w:val="white"/>
          <w:lang w:val="en-US" w:eastAsia="zh-CN"/>
        </w:rPr>
      </w:pPr>
      <w:r>
        <w:rPr>
          <w:rFonts w:hint="eastAsia" w:ascii="宋体" w:hAnsi="宋体" w:eastAsia="宋体" w:cs="宋体"/>
          <w:color w:val="auto"/>
          <w:sz w:val="28"/>
          <w:szCs w:val="28"/>
          <w:highlight w:val="white"/>
          <w:lang w:val="en-US" w:eastAsia="zh-CN"/>
        </w:rPr>
        <w:t>2.防治过程必须严格按照防治区划、时间节点及技术要求进行防治，防治操作人员必须技术娴熟，对防治技术不到位的技术员按要求及时更换，并按要求提供相关的防治轨迹图、飞防记录表、图纸等相关资料。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highlight w:val="white"/>
          <w:lang w:val="en-US" w:eastAsia="zh-CN"/>
        </w:rPr>
      </w:pPr>
      <w:r>
        <w:rPr>
          <w:rFonts w:hint="eastAsia" w:ascii="宋体" w:hAnsi="宋体" w:eastAsia="宋体" w:cs="宋体"/>
          <w:color w:val="auto"/>
          <w:sz w:val="28"/>
          <w:szCs w:val="28"/>
          <w:highlight w:val="white"/>
          <w:lang w:val="en-US" w:eastAsia="zh-CN"/>
        </w:rPr>
        <w:t>3.防治过程中无飞行事故、无药害及次生灾害事故，特别注意人、畜安全，操作时严格按规程进行。防治药物必须使用指定药物，农药配制要严格参照使用说明书，掌握好防治期、施药气候及时间。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highlight w:val="white"/>
          <w:lang w:val="en-US" w:eastAsia="zh-CN"/>
        </w:rPr>
      </w:pPr>
      <w:r>
        <w:rPr>
          <w:rFonts w:hint="eastAsia" w:ascii="宋体" w:hAnsi="宋体" w:eastAsia="宋体" w:cs="宋体"/>
          <w:color w:val="auto"/>
          <w:sz w:val="28"/>
          <w:szCs w:val="28"/>
          <w:highlight w:val="white"/>
          <w:lang w:val="en-US" w:eastAsia="zh-CN"/>
        </w:rPr>
        <w:t>4.防治公司必须按照林业局及相关单位要求提供充足的防治器械及防治技术人员，因防治公司原因造成的防治不到位、防治效果差、错过防治时间节点的现象由防治公司负责。</w:t>
      </w:r>
    </w:p>
    <w:p>
      <w:pPr>
        <w:numPr>
          <w:ilvl w:val="0"/>
          <w:numId w:val="0"/>
        </w:numPr>
        <w:bidi w:val="0"/>
        <w:spacing w:line="360" w:lineRule="auto"/>
        <w:ind w:firstLine="643" w:firstLineChars="200"/>
        <w:jc w:val="both"/>
        <w:rPr>
          <w:rFonts w:hint="eastAsia"/>
          <w:b/>
          <w:bCs/>
          <w:sz w:val="32"/>
          <w:szCs w:val="32"/>
          <w:highlight w:val="none"/>
          <w:lang w:eastAsia="zh-CN"/>
        </w:rPr>
      </w:pPr>
    </w:p>
    <w:p>
      <w:pPr>
        <w:pStyle w:val="3"/>
        <w:spacing w:line="240" w:lineRule="auto"/>
        <w:ind w:left="0" w:leftChars="0" w:firstLine="0" w:firstLineChars="0"/>
        <w:rPr>
          <w:rFonts w:hint="eastAsia"/>
          <w:b/>
          <w:bCs/>
          <w:sz w:val="32"/>
          <w:szCs w:val="32"/>
          <w:highlight w:val="none"/>
          <w:lang w:eastAsia="zh-CN"/>
        </w:rPr>
      </w:pPr>
    </w:p>
    <w:p>
      <w:pPr>
        <w:pStyle w:val="3"/>
        <w:spacing w:line="240" w:lineRule="auto"/>
        <w:ind w:left="0" w:leftChars="0" w:firstLine="0" w:firstLineChars="0"/>
        <w:rPr>
          <w:rFonts w:hint="eastAsia"/>
          <w:b/>
          <w:bCs/>
          <w:sz w:val="32"/>
          <w:szCs w:val="32"/>
          <w:highlight w:val="none"/>
          <w:lang w:eastAsia="zh-CN"/>
        </w:rPr>
        <w:sectPr>
          <w:footerReference r:id="rId3" w:type="default"/>
          <w:pgSz w:w="11900" w:h="16820"/>
          <w:pgMar w:top="1440" w:right="1360" w:bottom="1440" w:left="1720" w:header="0" w:footer="1220" w:gutter="0"/>
          <w:pgNumType w:fmt="decimal"/>
          <w:cols w:space="720" w:num="1"/>
        </w:sectPr>
      </w:pPr>
    </w:p>
    <w:p>
      <w:pPr>
        <w:pStyle w:val="3"/>
        <w:spacing w:line="240" w:lineRule="auto"/>
        <w:ind w:left="0" w:leftChars="0" w:firstLine="0" w:firstLineChars="0"/>
        <w:rPr>
          <w:rFonts w:hint="eastAsia"/>
          <w:b/>
          <w:bCs/>
          <w:sz w:val="32"/>
          <w:szCs w:val="32"/>
          <w:highlight w:val="none"/>
          <w:lang w:eastAsia="zh-CN"/>
        </w:rPr>
      </w:pPr>
    </w:p>
    <w:p>
      <w:pPr>
        <w:keepNext w:val="0"/>
        <w:keepLines w:val="0"/>
        <w:pageBreakBefore w:val="0"/>
        <w:kinsoku/>
        <w:wordWrap/>
        <w:overflowPunct/>
        <w:topLinePunct w:val="0"/>
        <w:autoSpaceDE/>
        <w:autoSpaceDN/>
        <w:bidi w:val="0"/>
        <w:adjustRightInd/>
        <w:snapToGrid/>
        <w:spacing w:line="600" w:lineRule="exact"/>
        <w:rPr>
          <w:rFonts w:hint="eastAsia"/>
          <w:sz w:val="28"/>
          <w:szCs w:val="36"/>
          <w:lang w:val="en-US" w:eastAsia="zh-CN"/>
        </w:rPr>
      </w:pPr>
      <w:r>
        <w:rPr>
          <w:rFonts w:hint="eastAsia"/>
          <w:sz w:val="28"/>
          <w:szCs w:val="36"/>
          <w:lang w:val="en-US" w:eastAsia="zh-CN"/>
        </w:rPr>
        <w:t>附件</w:t>
      </w:r>
    </w:p>
    <w:tbl>
      <w:tblPr>
        <w:tblStyle w:val="5"/>
        <w:tblW w:w="1396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82"/>
        <w:gridCol w:w="1896"/>
        <w:gridCol w:w="2154"/>
        <w:gridCol w:w="1609"/>
        <w:gridCol w:w="3273"/>
        <w:gridCol w:w="2018"/>
        <w:gridCol w:w="1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969" w:type="dxa"/>
            <w:gridSpan w:val="7"/>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铜鼓县林业有害生物防治统计汇总表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82" w:type="dxa"/>
            <w:tcBorders>
              <w:top w:val="nil"/>
              <w:left w:val="nil"/>
              <w:bottom w:val="nil"/>
              <w:right w:val="nil"/>
            </w:tcBorders>
            <w:noWrap/>
            <w:vAlign w:val="center"/>
          </w:tcPr>
          <w:p>
            <w:pPr>
              <w:jc w:val="center"/>
              <w:rPr>
                <w:rFonts w:hint="eastAsia" w:ascii="宋体" w:hAnsi="宋体" w:eastAsia="宋体" w:cs="宋体"/>
                <w:i w:val="0"/>
                <w:iCs w:val="0"/>
                <w:color w:val="000000"/>
                <w:sz w:val="40"/>
                <w:szCs w:val="40"/>
                <w:u w:val="none"/>
              </w:rPr>
            </w:pPr>
          </w:p>
        </w:tc>
        <w:tc>
          <w:tcPr>
            <w:tcW w:w="1896" w:type="dxa"/>
            <w:tcBorders>
              <w:top w:val="nil"/>
              <w:left w:val="nil"/>
              <w:bottom w:val="nil"/>
              <w:right w:val="nil"/>
            </w:tcBorders>
            <w:noWrap/>
            <w:vAlign w:val="center"/>
          </w:tcPr>
          <w:p>
            <w:pPr>
              <w:jc w:val="center"/>
              <w:rPr>
                <w:rFonts w:hint="eastAsia" w:ascii="宋体" w:hAnsi="宋体" w:eastAsia="宋体" w:cs="宋体"/>
                <w:i w:val="0"/>
                <w:iCs w:val="0"/>
                <w:color w:val="000000"/>
                <w:sz w:val="40"/>
                <w:szCs w:val="40"/>
                <w:u w:val="none"/>
              </w:rPr>
            </w:pPr>
          </w:p>
        </w:tc>
        <w:tc>
          <w:tcPr>
            <w:tcW w:w="2154" w:type="dxa"/>
            <w:tcBorders>
              <w:top w:val="nil"/>
              <w:left w:val="nil"/>
              <w:bottom w:val="nil"/>
              <w:right w:val="nil"/>
            </w:tcBorders>
            <w:noWrap/>
            <w:vAlign w:val="center"/>
          </w:tcPr>
          <w:p>
            <w:pPr>
              <w:jc w:val="center"/>
              <w:rPr>
                <w:rFonts w:hint="eastAsia" w:ascii="宋体" w:hAnsi="宋体" w:eastAsia="宋体" w:cs="宋体"/>
                <w:i w:val="0"/>
                <w:iCs w:val="0"/>
                <w:color w:val="000000"/>
                <w:sz w:val="40"/>
                <w:szCs w:val="40"/>
                <w:u w:val="none"/>
              </w:rPr>
            </w:pPr>
          </w:p>
        </w:tc>
        <w:tc>
          <w:tcPr>
            <w:tcW w:w="1609" w:type="dxa"/>
            <w:tcBorders>
              <w:top w:val="nil"/>
              <w:left w:val="nil"/>
              <w:bottom w:val="nil"/>
              <w:right w:val="nil"/>
            </w:tcBorders>
            <w:noWrap/>
            <w:vAlign w:val="center"/>
          </w:tcPr>
          <w:p>
            <w:pPr>
              <w:jc w:val="center"/>
              <w:rPr>
                <w:rFonts w:hint="eastAsia" w:ascii="宋体" w:hAnsi="宋体" w:eastAsia="宋体" w:cs="宋体"/>
                <w:i w:val="0"/>
                <w:iCs w:val="0"/>
                <w:color w:val="000000"/>
                <w:sz w:val="40"/>
                <w:szCs w:val="40"/>
                <w:u w:val="none"/>
              </w:rPr>
            </w:pPr>
          </w:p>
        </w:tc>
        <w:tc>
          <w:tcPr>
            <w:tcW w:w="3273" w:type="dxa"/>
            <w:tcBorders>
              <w:top w:val="nil"/>
              <w:left w:val="nil"/>
              <w:bottom w:val="nil"/>
              <w:right w:val="nil"/>
            </w:tcBorders>
            <w:noWrap/>
            <w:vAlign w:val="center"/>
          </w:tcPr>
          <w:p>
            <w:pPr>
              <w:jc w:val="center"/>
              <w:rPr>
                <w:rFonts w:hint="eastAsia" w:ascii="宋体" w:hAnsi="宋体" w:eastAsia="宋体" w:cs="宋体"/>
                <w:i w:val="0"/>
                <w:iCs w:val="0"/>
                <w:color w:val="000000"/>
                <w:sz w:val="40"/>
                <w:szCs w:val="40"/>
                <w:u w:val="none"/>
              </w:rPr>
            </w:pPr>
          </w:p>
        </w:tc>
        <w:tc>
          <w:tcPr>
            <w:tcW w:w="3955" w:type="dxa"/>
            <w:gridSpan w:val="2"/>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8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乡（镇）</w:t>
            </w:r>
          </w:p>
        </w:tc>
        <w:tc>
          <w:tcPr>
            <w:tcW w:w="21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村组</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寄主树种</w:t>
            </w:r>
          </w:p>
        </w:tc>
        <w:tc>
          <w:tcPr>
            <w:tcW w:w="3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有害生物名称</w:t>
            </w:r>
          </w:p>
        </w:tc>
        <w:tc>
          <w:tcPr>
            <w:tcW w:w="20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防治面积</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08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8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总计</w:t>
            </w:r>
          </w:p>
        </w:tc>
        <w:tc>
          <w:tcPr>
            <w:tcW w:w="21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4"/>
                <w:szCs w:val="24"/>
                <w:u w:val="none"/>
              </w:rPr>
            </w:pPr>
          </w:p>
        </w:tc>
        <w:tc>
          <w:tcPr>
            <w:tcW w:w="160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4"/>
                <w:szCs w:val="24"/>
                <w:u w:val="none"/>
              </w:rPr>
            </w:pPr>
          </w:p>
        </w:tc>
        <w:tc>
          <w:tcPr>
            <w:tcW w:w="32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4"/>
                <w:szCs w:val="24"/>
                <w:u w:val="none"/>
              </w:rPr>
            </w:pPr>
          </w:p>
        </w:tc>
        <w:tc>
          <w:tcPr>
            <w:tcW w:w="20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23360</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大塅镇</w:t>
            </w:r>
          </w:p>
        </w:tc>
        <w:tc>
          <w:tcPr>
            <w:tcW w:w="21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双红村</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毛竹</w:t>
            </w:r>
          </w:p>
        </w:tc>
        <w:tc>
          <w:tcPr>
            <w:tcW w:w="3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竹蝗</w:t>
            </w:r>
          </w:p>
        </w:tc>
        <w:tc>
          <w:tcPr>
            <w:tcW w:w="2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12184</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8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三都镇</w:t>
            </w:r>
          </w:p>
        </w:tc>
        <w:tc>
          <w:tcPr>
            <w:tcW w:w="21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大槽村</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毛竹</w:t>
            </w:r>
          </w:p>
        </w:tc>
        <w:tc>
          <w:tcPr>
            <w:tcW w:w="3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毛竹虫害</w:t>
            </w:r>
          </w:p>
        </w:tc>
        <w:tc>
          <w:tcPr>
            <w:tcW w:w="2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3064</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8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排埠镇</w:t>
            </w:r>
          </w:p>
        </w:tc>
        <w:tc>
          <w:tcPr>
            <w:tcW w:w="21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三溪村</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毛竹</w:t>
            </w:r>
          </w:p>
        </w:tc>
        <w:tc>
          <w:tcPr>
            <w:tcW w:w="3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竹蝗</w:t>
            </w:r>
          </w:p>
        </w:tc>
        <w:tc>
          <w:tcPr>
            <w:tcW w:w="2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810</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8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温泉镇</w:t>
            </w:r>
          </w:p>
        </w:tc>
        <w:tc>
          <w:tcPr>
            <w:tcW w:w="21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群生林场</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毛竹</w:t>
            </w:r>
          </w:p>
        </w:tc>
        <w:tc>
          <w:tcPr>
            <w:tcW w:w="3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竹笋禾夜蛾</w:t>
            </w:r>
          </w:p>
        </w:tc>
        <w:tc>
          <w:tcPr>
            <w:tcW w:w="2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8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温泉镇</w:t>
            </w:r>
          </w:p>
        </w:tc>
        <w:tc>
          <w:tcPr>
            <w:tcW w:w="21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新开村</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毛竹</w:t>
            </w:r>
          </w:p>
        </w:tc>
        <w:tc>
          <w:tcPr>
            <w:tcW w:w="3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竹笋禾夜蛾</w:t>
            </w:r>
          </w:p>
        </w:tc>
        <w:tc>
          <w:tcPr>
            <w:tcW w:w="2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8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温泉镇</w:t>
            </w:r>
          </w:p>
        </w:tc>
        <w:tc>
          <w:tcPr>
            <w:tcW w:w="21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石桥村</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毛竹</w:t>
            </w:r>
          </w:p>
        </w:tc>
        <w:tc>
          <w:tcPr>
            <w:tcW w:w="3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竹笋禾夜蛾</w:t>
            </w:r>
          </w:p>
        </w:tc>
        <w:tc>
          <w:tcPr>
            <w:tcW w:w="2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8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温泉镇</w:t>
            </w:r>
          </w:p>
        </w:tc>
        <w:tc>
          <w:tcPr>
            <w:tcW w:w="21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上庄村</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毛竹</w:t>
            </w:r>
          </w:p>
        </w:tc>
        <w:tc>
          <w:tcPr>
            <w:tcW w:w="3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竹笋禾夜蛾</w:t>
            </w:r>
          </w:p>
        </w:tc>
        <w:tc>
          <w:tcPr>
            <w:tcW w:w="2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8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棋坪镇</w:t>
            </w:r>
          </w:p>
        </w:tc>
        <w:tc>
          <w:tcPr>
            <w:tcW w:w="21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大梅村</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毛竹</w:t>
            </w:r>
          </w:p>
        </w:tc>
        <w:tc>
          <w:tcPr>
            <w:tcW w:w="3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竹叶虫</w:t>
            </w:r>
          </w:p>
        </w:tc>
        <w:tc>
          <w:tcPr>
            <w:tcW w:w="2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393</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8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永宁镇</w:t>
            </w:r>
          </w:p>
        </w:tc>
        <w:tc>
          <w:tcPr>
            <w:tcW w:w="21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八亩村</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毛竹</w:t>
            </w:r>
          </w:p>
        </w:tc>
        <w:tc>
          <w:tcPr>
            <w:tcW w:w="3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Arial" w:hAnsi="Arial" w:eastAsia="宋体" w:cs="Arial"/>
                <w:i w:val="0"/>
                <w:iCs w:val="0"/>
                <w:color w:val="323232"/>
                <w:sz w:val="24"/>
                <w:szCs w:val="24"/>
                <w:u w:val="none"/>
              </w:rPr>
            </w:pPr>
            <w:r>
              <w:rPr>
                <w:rFonts w:hint="default" w:ascii="Arial" w:hAnsi="Arial" w:eastAsia="宋体" w:cs="Arial"/>
                <w:i w:val="0"/>
                <w:iCs w:val="0"/>
                <w:color w:val="333333"/>
                <w:kern w:val="0"/>
                <w:sz w:val="24"/>
                <w:szCs w:val="24"/>
                <w:u w:val="none"/>
                <w:lang w:val="en-US" w:eastAsia="zh-CN" w:bidi="ar"/>
              </w:rPr>
              <w:t>竹笋夜蛾</w:t>
            </w:r>
          </w:p>
        </w:tc>
        <w:tc>
          <w:tcPr>
            <w:tcW w:w="2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8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永宁镇</w:t>
            </w:r>
          </w:p>
        </w:tc>
        <w:tc>
          <w:tcPr>
            <w:tcW w:w="21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兴源村</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毛竹</w:t>
            </w:r>
          </w:p>
        </w:tc>
        <w:tc>
          <w:tcPr>
            <w:tcW w:w="3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eastAsia="宋体" w:cs="Arial"/>
                <w:i w:val="0"/>
                <w:iCs w:val="0"/>
                <w:color w:val="323232"/>
                <w:sz w:val="24"/>
                <w:szCs w:val="24"/>
                <w:u w:val="none"/>
              </w:rPr>
            </w:pPr>
            <w:r>
              <w:rPr>
                <w:rFonts w:hint="default" w:ascii="Arial" w:hAnsi="Arial" w:eastAsia="宋体" w:cs="Arial"/>
                <w:i w:val="0"/>
                <w:iCs w:val="0"/>
                <w:color w:val="333333"/>
                <w:kern w:val="0"/>
                <w:sz w:val="24"/>
                <w:szCs w:val="24"/>
                <w:u w:val="none"/>
                <w:lang w:val="en-US" w:eastAsia="zh-CN" w:bidi="ar"/>
              </w:rPr>
              <w:t>竹笋夜蛾</w:t>
            </w:r>
          </w:p>
        </w:tc>
        <w:tc>
          <w:tcPr>
            <w:tcW w:w="2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8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永宁镇</w:t>
            </w:r>
          </w:p>
        </w:tc>
        <w:tc>
          <w:tcPr>
            <w:tcW w:w="21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坪田村</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毛竹</w:t>
            </w:r>
          </w:p>
        </w:tc>
        <w:tc>
          <w:tcPr>
            <w:tcW w:w="3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eastAsia="宋体" w:cs="Arial"/>
                <w:i w:val="0"/>
                <w:iCs w:val="0"/>
                <w:color w:val="323232"/>
                <w:sz w:val="24"/>
                <w:szCs w:val="24"/>
                <w:u w:val="none"/>
              </w:rPr>
            </w:pPr>
            <w:r>
              <w:rPr>
                <w:rFonts w:hint="default" w:ascii="Arial" w:hAnsi="Arial" w:eastAsia="宋体" w:cs="Arial"/>
                <w:i w:val="0"/>
                <w:iCs w:val="0"/>
                <w:color w:val="333333"/>
                <w:kern w:val="0"/>
                <w:sz w:val="24"/>
                <w:szCs w:val="24"/>
                <w:u w:val="none"/>
                <w:lang w:val="en-US" w:eastAsia="zh-CN" w:bidi="ar"/>
              </w:rPr>
              <w:t>竹笋夜蛾</w:t>
            </w:r>
          </w:p>
        </w:tc>
        <w:tc>
          <w:tcPr>
            <w:tcW w:w="2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260</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8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永宁镇</w:t>
            </w:r>
          </w:p>
        </w:tc>
        <w:tc>
          <w:tcPr>
            <w:tcW w:w="21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顺化村</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毛竹</w:t>
            </w:r>
          </w:p>
        </w:tc>
        <w:tc>
          <w:tcPr>
            <w:tcW w:w="3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eastAsia="宋体" w:cs="Arial"/>
                <w:i w:val="0"/>
                <w:iCs w:val="0"/>
                <w:color w:val="323232"/>
                <w:sz w:val="24"/>
                <w:szCs w:val="24"/>
                <w:u w:val="none"/>
              </w:rPr>
            </w:pPr>
            <w:r>
              <w:rPr>
                <w:rFonts w:hint="default" w:ascii="Arial" w:hAnsi="Arial" w:eastAsia="宋体" w:cs="Arial"/>
                <w:i w:val="0"/>
                <w:iCs w:val="0"/>
                <w:color w:val="333333"/>
                <w:kern w:val="0"/>
                <w:sz w:val="24"/>
                <w:szCs w:val="24"/>
                <w:u w:val="none"/>
                <w:lang w:val="en-US" w:eastAsia="zh-CN" w:bidi="ar"/>
              </w:rPr>
              <w:t>竹笋夜蛾</w:t>
            </w:r>
          </w:p>
        </w:tc>
        <w:tc>
          <w:tcPr>
            <w:tcW w:w="2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8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花山林场</w:t>
            </w:r>
          </w:p>
        </w:tc>
        <w:tc>
          <w:tcPr>
            <w:tcW w:w="21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6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毛竹</w:t>
            </w:r>
          </w:p>
        </w:tc>
        <w:tc>
          <w:tcPr>
            <w:tcW w:w="3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竹笋禾夜蛾</w:t>
            </w:r>
          </w:p>
        </w:tc>
        <w:tc>
          <w:tcPr>
            <w:tcW w:w="2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1250</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8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龙门林场</w:t>
            </w:r>
          </w:p>
        </w:tc>
        <w:tc>
          <w:tcPr>
            <w:tcW w:w="21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6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毛竹</w:t>
            </w:r>
          </w:p>
        </w:tc>
        <w:tc>
          <w:tcPr>
            <w:tcW w:w="3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竹笋禾夜蛾</w:t>
            </w:r>
          </w:p>
        </w:tc>
        <w:tc>
          <w:tcPr>
            <w:tcW w:w="2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960</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8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茶山林场</w:t>
            </w:r>
          </w:p>
        </w:tc>
        <w:tc>
          <w:tcPr>
            <w:tcW w:w="21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6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毛竹</w:t>
            </w:r>
          </w:p>
        </w:tc>
        <w:tc>
          <w:tcPr>
            <w:tcW w:w="3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竹笋禾夜蛾</w:t>
            </w:r>
          </w:p>
        </w:tc>
        <w:tc>
          <w:tcPr>
            <w:tcW w:w="2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930</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8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大沩山林场</w:t>
            </w:r>
          </w:p>
        </w:tc>
        <w:tc>
          <w:tcPr>
            <w:tcW w:w="21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6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毛竹</w:t>
            </w:r>
          </w:p>
        </w:tc>
        <w:tc>
          <w:tcPr>
            <w:tcW w:w="3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竹笋禾夜蛾</w:t>
            </w:r>
          </w:p>
        </w:tc>
        <w:tc>
          <w:tcPr>
            <w:tcW w:w="2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1052</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08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4"/>
                <w:szCs w:val="24"/>
                <w:u w:val="none"/>
              </w:rPr>
            </w:pPr>
          </w:p>
        </w:tc>
        <w:tc>
          <w:tcPr>
            <w:tcW w:w="18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21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4"/>
                <w:szCs w:val="24"/>
                <w:u w:val="none"/>
              </w:rPr>
            </w:pPr>
          </w:p>
        </w:tc>
        <w:tc>
          <w:tcPr>
            <w:tcW w:w="160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4"/>
                <w:szCs w:val="24"/>
                <w:u w:val="none"/>
              </w:rPr>
            </w:pPr>
          </w:p>
        </w:tc>
        <w:tc>
          <w:tcPr>
            <w:tcW w:w="32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4"/>
                <w:szCs w:val="24"/>
                <w:u w:val="none"/>
              </w:rPr>
            </w:pPr>
          </w:p>
        </w:tc>
        <w:tc>
          <w:tcPr>
            <w:tcW w:w="2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21578</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大塅镇</w:t>
            </w:r>
          </w:p>
        </w:tc>
        <w:tc>
          <w:tcPr>
            <w:tcW w:w="21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kern w:val="0"/>
                <w:sz w:val="24"/>
                <w:szCs w:val="24"/>
                <w:u w:val="none"/>
                <w:lang w:val="en-US" w:eastAsia="zh-CN" w:bidi="ar"/>
              </w:rPr>
              <w:t>双红村</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杉木</w:t>
            </w:r>
          </w:p>
        </w:tc>
        <w:tc>
          <w:tcPr>
            <w:tcW w:w="3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白蚁</w:t>
            </w:r>
          </w:p>
        </w:tc>
        <w:tc>
          <w:tcPr>
            <w:tcW w:w="2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345</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8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茶山林场</w:t>
            </w:r>
          </w:p>
        </w:tc>
        <w:tc>
          <w:tcPr>
            <w:tcW w:w="21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6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杉木</w:t>
            </w:r>
          </w:p>
        </w:tc>
        <w:tc>
          <w:tcPr>
            <w:tcW w:w="3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杉肤小蠹</w:t>
            </w:r>
          </w:p>
        </w:tc>
        <w:tc>
          <w:tcPr>
            <w:tcW w:w="2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555</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8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林业公司</w:t>
            </w:r>
          </w:p>
        </w:tc>
        <w:tc>
          <w:tcPr>
            <w:tcW w:w="21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6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杉木</w:t>
            </w:r>
          </w:p>
        </w:tc>
        <w:tc>
          <w:tcPr>
            <w:tcW w:w="3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杉肤小蠹</w:t>
            </w:r>
          </w:p>
        </w:tc>
        <w:tc>
          <w:tcPr>
            <w:tcW w:w="2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815</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08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8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21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4"/>
                <w:szCs w:val="24"/>
                <w:u w:val="none"/>
              </w:rPr>
            </w:pPr>
          </w:p>
        </w:tc>
        <w:tc>
          <w:tcPr>
            <w:tcW w:w="160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4"/>
                <w:szCs w:val="24"/>
                <w:u w:val="none"/>
              </w:rPr>
            </w:pPr>
          </w:p>
        </w:tc>
        <w:tc>
          <w:tcPr>
            <w:tcW w:w="32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4"/>
                <w:szCs w:val="24"/>
                <w:u w:val="none"/>
              </w:rPr>
            </w:pPr>
          </w:p>
        </w:tc>
        <w:tc>
          <w:tcPr>
            <w:tcW w:w="2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1715</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三都镇</w:t>
            </w:r>
          </w:p>
        </w:tc>
        <w:tc>
          <w:tcPr>
            <w:tcW w:w="21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枫槎村</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3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加拿大一枝黄花</w:t>
            </w:r>
          </w:p>
        </w:tc>
        <w:tc>
          <w:tcPr>
            <w:tcW w:w="2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8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三都镇</w:t>
            </w:r>
          </w:p>
        </w:tc>
        <w:tc>
          <w:tcPr>
            <w:tcW w:w="21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东浒村</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3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加拿大一枝黄花</w:t>
            </w:r>
          </w:p>
        </w:tc>
        <w:tc>
          <w:tcPr>
            <w:tcW w:w="2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8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大塅镇</w:t>
            </w:r>
          </w:p>
        </w:tc>
        <w:tc>
          <w:tcPr>
            <w:tcW w:w="21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九龙村</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3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加拿大一枝黄花</w:t>
            </w:r>
          </w:p>
        </w:tc>
        <w:tc>
          <w:tcPr>
            <w:tcW w:w="2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8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大塅镇</w:t>
            </w:r>
          </w:p>
        </w:tc>
        <w:tc>
          <w:tcPr>
            <w:tcW w:w="21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居委会</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3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加拿大一枝黄花</w:t>
            </w:r>
          </w:p>
        </w:tc>
        <w:tc>
          <w:tcPr>
            <w:tcW w:w="2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8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带溪乡</w:t>
            </w:r>
          </w:p>
        </w:tc>
        <w:tc>
          <w:tcPr>
            <w:tcW w:w="21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高岭村</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3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加拿大一枝黄花</w:t>
            </w:r>
          </w:p>
        </w:tc>
        <w:tc>
          <w:tcPr>
            <w:tcW w:w="2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8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带溪乡</w:t>
            </w:r>
          </w:p>
        </w:tc>
        <w:tc>
          <w:tcPr>
            <w:tcW w:w="21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大群村</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3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加拿大一枝黄花</w:t>
            </w:r>
          </w:p>
        </w:tc>
        <w:tc>
          <w:tcPr>
            <w:tcW w:w="2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08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8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21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4"/>
                <w:szCs w:val="24"/>
                <w:u w:val="none"/>
              </w:rPr>
            </w:pPr>
          </w:p>
        </w:tc>
        <w:tc>
          <w:tcPr>
            <w:tcW w:w="160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4"/>
                <w:szCs w:val="24"/>
                <w:u w:val="none"/>
              </w:rPr>
            </w:pPr>
          </w:p>
        </w:tc>
        <w:tc>
          <w:tcPr>
            <w:tcW w:w="32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4"/>
                <w:szCs w:val="24"/>
                <w:u w:val="none"/>
              </w:rPr>
            </w:pPr>
          </w:p>
        </w:tc>
        <w:tc>
          <w:tcPr>
            <w:tcW w:w="2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67</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4"/>
                <w:szCs w:val="24"/>
                <w:u w:val="none"/>
              </w:rPr>
            </w:pPr>
          </w:p>
        </w:tc>
      </w:tr>
    </w:tbl>
    <w:p>
      <w:pPr>
        <w:pStyle w:val="3"/>
        <w:spacing w:line="240" w:lineRule="auto"/>
        <w:ind w:left="0" w:leftChars="0" w:firstLine="0" w:firstLineChars="0"/>
        <w:rPr>
          <w:rFonts w:hint="eastAsia"/>
          <w:b/>
          <w:bCs/>
          <w:sz w:val="32"/>
          <w:szCs w:val="32"/>
          <w:highlight w:val="none"/>
          <w:lang w:eastAsia="zh-CN"/>
        </w:rPr>
        <w:sectPr>
          <w:pgSz w:w="16820" w:h="11900" w:orient="landscape"/>
          <w:pgMar w:top="1720" w:right="1440" w:bottom="1360" w:left="1440" w:header="0" w:footer="1220" w:gutter="0"/>
          <w:pgNumType w:fmt="decimal"/>
          <w:cols w:space="720" w:num="1"/>
        </w:sectPr>
      </w:pPr>
    </w:p>
    <w:p>
      <w:pPr>
        <w:pStyle w:val="3"/>
        <w:ind w:left="0" w:leftChars="0" w:firstLine="0" w:firstLineChars="0"/>
        <w:rPr>
          <w:rFonts w:hint="eastAsia"/>
          <w:b/>
          <w:bCs/>
          <w:sz w:val="32"/>
          <w:szCs w:val="32"/>
          <w:highlight w:val="none"/>
          <w:lang w:eastAsia="zh-CN"/>
        </w:rPr>
      </w:pPr>
    </w:p>
    <w:p>
      <w:pPr>
        <w:numPr>
          <w:ilvl w:val="0"/>
          <w:numId w:val="1"/>
        </w:numPr>
        <w:bidi w:val="0"/>
        <w:spacing w:line="360" w:lineRule="auto"/>
        <w:ind w:left="0" w:leftChars="0" w:firstLine="0" w:firstLineChars="0"/>
        <w:jc w:val="center"/>
        <w:rPr>
          <w:rFonts w:hint="eastAsia"/>
          <w:b/>
          <w:bCs/>
          <w:sz w:val="32"/>
          <w:szCs w:val="32"/>
          <w:highlight w:val="white"/>
          <w:lang w:val="en-US" w:eastAsia="zh-CN"/>
        </w:rPr>
      </w:pPr>
      <w:r>
        <w:rPr>
          <w:rFonts w:hint="eastAsia"/>
          <w:b/>
          <w:bCs/>
          <w:sz w:val="32"/>
          <w:szCs w:val="32"/>
          <w:highlight w:val="white"/>
          <w:lang w:eastAsia="zh-CN"/>
        </w:rPr>
        <w:t>商务需求</w:t>
      </w:r>
    </w:p>
    <w:p>
      <w:pPr>
        <w:numPr>
          <w:ilvl w:val="0"/>
          <w:numId w:val="0"/>
        </w:numPr>
        <w:bidi w:val="0"/>
        <w:spacing w:line="360" w:lineRule="auto"/>
        <w:jc w:val="both"/>
        <w:rPr>
          <w:rFonts w:hint="default" w:ascii="宋体" w:hAnsi="宋体" w:eastAsia="宋体" w:cs="宋体"/>
          <w:color w:val="auto"/>
          <w:sz w:val="28"/>
          <w:szCs w:val="28"/>
          <w:highlight w:val="none"/>
          <w:lang w:val="en-US" w:eastAsia="zh-CN"/>
        </w:rPr>
      </w:pPr>
      <w:r>
        <w:rPr>
          <w:rFonts w:hint="eastAsia" w:ascii="宋体" w:hAnsi="宋体" w:eastAsia="宋体" w:cs="宋体"/>
          <w:b/>
          <w:bCs/>
          <w:color w:val="auto"/>
          <w:sz w:val="28"/>
          <w:szCs w:val="28"/>
          <w:highlight w:val="white"/>
          <w:lang w:val="en-US" w:eastAsia="zh-CN"/>
        </w:rPr>
        <w:t>1、</w:t>
      </w:r>
      <w:r>
        <w:rPr>
          <w:rFonts w:hint="eastAsia" w:ascii="宋体" w:hAnsi="宋体" w:eastAsia="宋体" w:cs="宋体"/>
          <w:b/>
          <w:bCs/>
          <w:color w:val="auto"/>
          <w:sz w:val="28"/>
          <w:szCs w:val="28"/>
          <w:highlight w:val="white"/>
          <w:lang w:eastAsia="zh-CN"/>
        </w:rPr>
        <w:t>付款方式：</w:t>
      </w:r>
      <w:r>
        <w:rPr>
          <w:rFonts w:hint="eastAsia" w:ascii="宋体" w:hAnsi="宋体" w:eastAsia="宋体" w:cs="宋体"/>
          <w:b w:val="0"/>
          <w:bCs w:val="0"/>
          <w:color w:val="000000"/>
          <w:kern w:val="2"/>
          <w:sz w:val="28"/>
          <w:szCs w:val="28"/>
          <w:lang w:val="en-US" w:eastAsia="zh-CN" w:bidi="ar-SA"/>
        </w:rPr>
        <w:t>合同签订后，在第二次飞防作业结束且采购人验收合格后 30个工作日内支付合同总金额的100%，（以上均为无息支付）.</w:t>
      </w:r>
    </w:p>
    <w:p>
      <w:pPr>
        <w:numPr>
          <w:ilvl w:val="0"/>
          <w:numId w:val="2"/>
        </w:numPr>
        <w:bidi w:val="0"/>
        <w:spacing w:line="360" w:lineRule="auto"/>
        <w:jc w:val="left"/>
        <w:rPr>
          <w:rFonts w:hint="eastAsia" w:ascii="宋体" w:hAnsi="宋体" w:eastAsia="宋体" w:cs="宋体"/>
          <w:color w:val="auto"/>
          <w:sz w:val="28"/>
          <w:szCs w:val="28"/>
          <w:highlight w:val="white"/>
          <w:lang w:eastAsia="zh-CN"/>
        </w:rPr>
      </w:pPr>
      <w:r>
        <w:rPr>
          <w:rFonts w:hint="eastAsia" w:ascii="宋体" w:hAnsi="宋体" w:eastAsia="宋体" w:cs="宋体"/>
          <w:b/>
          <w:bCs/>
          <w:color w:val="auto"/>
          <w:sz w:val="28"/>
          <w:szCs w:val="28"/>
          <w:highlight w:val="white"/>
          <w:lang w:eastAsia="zh-CN"/>
        </w:rPr>
        <w:t>服务地点：</w:t>
      </w:r>
      <w:r>
        <w:rPr>
          <w:rFonts w:hint="eastAsia" w:ascii="宋体" w:hAnsi="宋体" w:eastAsia="宋体" w:cs="宋体"/>
          <w:color w:val="auto"/>
          <w:sz w:val="28"/>
          <w:szCs w:val="28"/>
          <w:highlight w:val="white"/>
          <w:lang w:val="en-US" w:eastAsia="zh-CN"/>
        </w:rPr>
        <w:t>铜鼓县境内</w:t>
      </w:r>
    </w:p>
    <w:p>
      <w:pPr>
        <w:numPr>
          <w:ilvl w:val="0"/>
          <w:numId w:val="2"/>
        </w:numPr>
        <w:bidi w:val="0"/>
        <w:spacing w:line="360" w:lineRule="auto"/>
        <w:ind w:left="0" w:leftChars="0" w:firstLine="0" w:firstLineChars="0"/>
        <w:jc w:val="both"/>
        <w:rPr>
          <w:rFonts w:hint="eastAsia" w:ascii="宋体" w:hAnsi="宋体" w:cs="宋体"/>
          <w:color w:val="auto"/>
          <w:sz w:val="28"/>
          <w:szCs w:val="28"/>
          <w:highlight w:val="white"/>
          <w:lang w:val="en-US" w:eastAsia="zh-CN"/>
        </w:rPr>
      </w:pPr>
      <w:r>
        <w:rPr>
          <w:rFonts w:hint="eastAsia" w:ascii="宋体" w:hAnsi="宋体" w:eastAsia="宋体" w:cs="宋体"/>
          <w:b/>
          <w:bCs/>
          <w:color w:val="auto"/>
          <w:sz w:val="28"/>
          <w:szCs w:val="28"/>
          <w:highlight w:val="white"/>
          <w:lang w:val="en-US" w:eastAsia="zh-CN"/>
        </w:rPr>
        <w:t>服务期限</w:t>
      </w:r>
      <w:r>
        <w:rPr>
          <w:rFonts w:hint="eastAsia" w:ascii="宋体" w:hAnsi="宋体" w:eastAsia="宋体" w:cs="宋体"/>
          <w:color w:val="auto"/>
          <w:sz w:val="28"/>
          <w:szCs w:val="28"/>
          <w:highlight w:val="white"/>
          <w:lang w:val="en-US" w:eastAsia="zh-CN"/>
        </w:rPr>
        <w:t>：</w:t>
      </w:r>
      <w:r>
        <w:rPr>
          <w:rFonts w:hint="eastAsia" w:ascii="宋体" w:hAnsi="宋体" w:cs="宋体"/>
          <w:color w:val="auto"/>
          <w:sz w:val="28"/>
          <w:szCs w:val="28"/>
          <w:highlight w:val="white"/>
          <w:lang w:val="en-US" w:eastAsia="zh-CN"/>
        </w:rPr>
        <w:t>一年</w:t>
      </w:r>
    </w:p>
    <w:p>
      <w:pPr>
        <w:spacing w:line="480" w:lineRule="auto"/>
        <w:rPr>
          <w:rFonts w:hint="eastAsia" w:ascii="宋体" w:hAnsi="宋体" w:cs="宋体"/>
          <w:color w:val="auto"/>
          <w:sz w:val="28"/>
          <w:szCs w:val="28"/>
          <w:highlight w:val="white"/>
          <w:lang w:val="en-US" w:eastAsia="zh-CN"/>
        </w:rPr>
      </w:pPr>
      <w:r>
        <w:rPr>
          <w:rFonts w:hint="eastAsia" w:ascii="宋体" w:hAnsi="宋体" w:cs="宋体"/>
          <w:color w:val="auto"/>
          <w:sz w:val="28"/>
          <w:szCs w:val="28"/>
          <w:highlight w:val="white"/>
          <w:lang w:val="en-US" w:eastAsia="zh-CN"/>
        </w:rPr>
        <w:t>4、</w:t>
      </w:r>
      <w:r>
        <w:rPr>
          <w:rFonts w:hint="eastAsia" w:ascii="宋体" w:hAnsi="宋体" w:eastAsia="宋体" w:cs="宋体"/>
          <w:b/>
          <w:bCs/>
          <w:color w:val="000000"/>
          <w:kern w:val="2"/>
          <w:sz w:val="28"/>
          <w:szCs w:val="28"/>
          <w:lang w:val="en-US" w:eastAsia="zh-CN" w:bidi="ar-SA"/>
        </w:rPr>
        <w:t>报价要求：</w:t>
      </w:r>
      <w:r>
        <w:rPr>
          <w:rFonts w:hint="eastAsia" w:ascii="宋体" w:hAnsi="宋体" w:eastAsia="宋体" w:cs="宋体"/>
          <w:b w:val="0"/>
          <w:bCs w:val="0"/>
          <w:color w:val="000000"/>
          <w:kern w:val="2"/>
          <w:sz w:val="28"/>
          <w:szCs w:val="28"/>
          <w:lang w:val="en-US" w:eastAsia="zh-CN" w:bidi="ar-SA"/>
        </w:rPr>
        <w:t>以人民币报价，响应供应商报价应包括的人员薪资、医保社保费用、福利、应缴税费、管理费、差旅费、加班、工具、耗材、管理、税费等一切费用等所有费有，以及响应供应商认为必要的其他货物、材料、服务。</w:t>
      </w:r>
    </w:p>
    <w:p>
      <w:pPr>
        <w:numPr>
          <w:ilvl w:val="0"/>
          <w:numId w:val="0"/>
        </w:numPr>
        <w:bidi w:val="0"/>
        <w:spacing w:line="360" w:lineRule="auto"/>
        <w:ind w:leftChars="0"/>
        <w:jc w:val="both"/>
        <w:rPr>
          <w:rFonts w:hint="eastAsia"/>
          <w:sz w:val="48"/>
          <w:szCs w:val="24"/>
          <w:highlight w:val="white"/>
        </w:rPr>
      </w:pPr>
      <w:r>
        <w:rPr>
          <w:rFonts w:hint="eastAsia" w:ascii="宋体" w:hAnsi="宋体" w:cs="宋体"/>
          <w:b/>
          <w:bCs/>
          <w:sz w:val="28"/>
          <w:szCs w:val="28"/>
          <w:highlight w:val="white"/>
          <w:lang w:val="en-US" w:eastAsia="zh-CN"/>
        </w:rPr>
        <w:t>5</w:t>
      </w:r>
      <w:r>
        <w:rPr>
          <w:rFonts w:hint="eastAsia" w:ascii="宋体" w:hAnsi="宋体" w:eastAsia="宋体" w:cs="宋体"/>
          <w:b/>
          <w:bCs/>
          <w:sz w:val="28"/>
          <w:szCs w:val="28"/>
          <w:highlight w:val="white"/>
          <w:lang w:eastAsia="zh-CN"/>
        </w:rPr>
        <w:t>. 验收方式</w:t>
      </w:r>
      <w:r>
        <w:rPr>
          <w:rFonts w:hint="eastAsia" w:ascii="宋体" w:hAnsi="宋体" w:cs="宋体"/>
          <w:b/>
          <w:bCs/>
          <w:sz w:val="28"/>
          <w:szCs w:val="28"/>
          <w:highlight w:val="white"/>
          <w:lang w:eastAsia="zh-CN"/>
        </w:rPr>
        <w:t>：</w:t>
      </w:r>
      <w:r>
        <w:rPr>
          <w:rFonts w:hint="eastAsia" w:ascii="宋体" w:hAnsi="宋体" w:eastAsia="宋体" w:cs="宋体"/>
          <w:b w:val="0"/>
          <w:bCs w:val="0"/>
          <w:kern w:val="0"/>
          <w:sz w:val="28"/>
          <w:szCs w:val="28"/>
          <w:highlight w:val="white"/>
          <w:lang w:val="en-US" w:eastAsia="zh-CN"/>
        </w:rPr>
        <w:t>由县林业局组织专家组对防治区划的防治面积以及防治效果进行检查验收。</w:t>
      </w: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spacing w:line="300" w:lineRule="exact"/>
      <w:jc w:val="cente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bidi w:val="0"/>
                          </w:pPr>
                          <w:r>
                            <w:fldChar w:fldCharType="begin"/>
                          </w:r>
                          <w:r>
                            <w:rPr>
                              <w:highlight w:val="white"/>
                            </w:rPr>
                            <w:instrText xml:space="preserve"> PAGE  \* MERGEFORMAT </w:instrText>
                          </w:r>
                          <w:r>
                            <w:fldChar w:fldCharType="separate"/>
                          </w:r>
                          <w:r>
                            <w:rPr>
                              <w:highlight w:val="white"/>
                            </w:rPr>
                            <w:t>59</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path/>
              <v:fill on="f" focussize="0,0"/>
              <v:stroke on="f"/>
              <v:imagedata o:title=""/>
              <o:lock v:ext="edit" aspectratio="f"/>
              <v:textbox inset="0mm,0mm,0mm,0mm" style="mso-fit-shape-to-text:t;">
                <w:txbxContent>
                  <w:p>
                    <w:pPr>
                      <w:pStyle w:val="4"/>
                      <w:bidi w:val="0"/>
                    </w:pPr>
                    <w:r>
                      <w:fldChar w:fldCharType="begin"/>
                    </w:r>
                    <w:r>
                      <w:rPr>
                        <w:highlight w:val="white"/>
                      </w:rPr>
                      <w:instrText xml:space="preserve"> PAGE  \* MERGEFORMAT </w:instrText>
                    </w:r>
                    <w:r>
                      <w:fldChar w:fldCharType="separate"/>
                    </w:r>
                    <w:r>
                      <w:rPr>
                        <w:highlight w:val="white"/>
                      </w:rPr>
                      <w:t>59</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EA3F24"/>
    <w:multiLevelType w:val="singleLevel"/>
    <w:tmpl w:val="BCEA3F24"/>
    <w:lvl w:ilvl="0" w:tentative="0">
      <w:start w:val="2"/>
      <w:numFmt w:val="decimal"/>
      <w:suff w:val="nothing"/>
      <w:lvlText w:val="%1、"/>
      <w:lvlJc w:val="left"/>
    </w:lvl>
  </w:abstractNum>
  <w:abstractNum w:abstractNumId="1">
    <w:nsid w:val="7919A35F"/>
    <w:multiLevelType w:val="singleLevel"/>
    <w:tmpl w:val="7919A35F"/>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2ODgwNDNjOTAwODkwYTkzNTBmMmQzY2ZmYWRhYmMifQ=="/>
  </w:docVars>
  <w:rsids>
    <w:rsidRoot w:val="1B8326F6"/>
    <w:rsid w:val="1B832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sz w:val="21"/>
      <w:szCs w:val="22"/>
    </w:rPr>
  </w:style>
  <w:style w:type="paragraph" w:styleId="2">
    <w:name w:val="heading 2"/>
    <w:basedOn w:val="1"/>
    <w:next w:val="1"/>
    <w:qFormat/>
    <w:uiPriority w:val="0"/>
    <w:pPr>
      <w:keepNext/>
      <w:keepLines/>
      <w:spacing w:before="260" w:after="260" w:line="413" w:lineRule="auto"/>
      <w:outlineLvl w:val="1"/>
    </w:pPr>
    <w:rPr>
      <w:rFonts w:ascii="Arial" w:hAnsi="Arial" w:eastAsia="黑体"/>
      <w:b/>
      <w:bCs/>
      <w:kern w:val="0"/>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Normal Indent"/>
    <w:basedOn w:val="1"/>
    <w:qFormat/>
    <w:uiPriority w:val="0"/>
    <w:pPr>
      <w:spacing w:line="360" w:lineRule="auto"/>
      <w:ind w:firstLine="200" w:firstLineChars="200"/>
    </w:pPr>
    <w:rPr>
      <w:sz w:val="24"/>
    </w:r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2024-05-14T08:36:00Z</dcterms:created>
  <dc:creator>邱秀</dc:creator>
  <cp:lastModifiedBy>邱秀</cp:lastModifiedBy>
  <dcterms:modified xsi:type="dcterms:W3CDTF">2024-05-14T08:37:42Z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EF3D1FF9E982403F9A903FBC4E59232E_11</vt:lpwstr>
  </property>
</Properties>
</file>