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s="Times New Roman"/>
          <w:sz w:val="32"/>
          <w:szCs w:val="32"/>
          <w:highlight w:val="white"/>
          <w:lang w:eastAsia="zh-CN"/>
        </w:rPr>
      </w:pPr>
      <w:r>
        <w:rPr>
          <w:rFonts w:hint="eastAsia" w:cs="Times New Roman"/>
          <w:sz w:val="32"/>
          <w:szCs w:val="32"/>
          <w:highlight w:val="white"/>
          <w:lang w:eastAsia="zh-CN"/>
        </w:rPr>
        <w:t>技术需求</w:t>
      </w:r>
    </w:p>
    <w:p>
      <w:pPr>
        <w:bidi w:val="0"/>
        <w:spacing w:line="360" w:lineRule="auto"/>
        <w:jc w:val="both"/>
        <w:rPr>
          <w:rFonts w:hint="eastAsia" w:ascii="宋体" w:hAnsi="宋体" w:eastAsia="宋体" w:cs="宋体"/>
          <w:b/>
          <w:bCs/>
          <w:sz w:val="28"/>
          <w:szCs w:val="28"/>
          <w:lang w:eastAsia="zh-CN"/>
        </w:rPr>
      </w:pPr>
      <w:r>
        <w:rPr>
          <w:rFonts w:hint="eastAsia" w:ascii="宋体" w:hAnsi="宋体" w:eastAsia="宋体" w:cs="宋体"/>
          <w:b/>
          <w:bCs/>
          <w:sz w:val="28"/>
          <w:szCs w:val="28"/>
          <w:highlight w:val="white"/>
          <w:lang w:eastAsia="zh-CN"/>
        </w:rPr>
        <w:t>一、</w:t>
      </w:r>
      <w:r>
        <w:rPr>
          <w:rFonts w:hint="eastAsia" w:ascii="宋体" w:hAnsi="宋体" w:cs="宋体"/>
          <w:b/>
          <w:bCs/>
          <w:sz w:val="28"/>
          <w:szCs w:val="28"/>
          <w:highlight w:val="white"/>
          <w:lang w:eastAsia="zh-CN"/>
        </w:rPr>
        <w:t>招标</w:t>
      </w:r>
      <w:r>
        <w:rPr>
          <w:rFonts w:hint="eastAsia" w:ascii="宋体" w:hAnsi="宋体" w:eastAsia="宋体" w:cs="宋体"/>
          <w:b/>
          <w:bCs/>
          <w:sz w:val="28"/>
          <w:szCs w:val="28"/>
          <w:highlight w:val="white"/>
          <w:lang w:eastAsia="zh-CN"/>
        </w:rPr>
        <w:t>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sz w:val="28"/>
          <w:szCs w:val="28"/>
          <w:highlight w:val="white"/>
          <w:lang w:val="en-US" w:eastAsia="zh-CN"/>
        </w:rPr>
        <w:t xml:space="preserve"> </w:t>
      </w:r>
      <w:r>
        <w:rPr>
          <w:rFonts w:hint="eastAsia" w:ascii="宋体" w:hAnsi="宋体" w:eastAsia="宋体" w:cs="宋体"/>
          <w:color w:val="auto"/>
          <w:sz w:val="28"/>
          <w:szCs w:val="28"/>
          <w:highlight w:val="white"/>
          <w:lang w:val="en-US" w:eastAsia="zh-CN"/>
        </w:rPr>
        <w:t>我县林业面积大，在全县生态环境建设及经济社会发展中具有十分重要的地位，为切实做好我县林业有害生物防治工作，减少林产损失，经过2024年虫情调查，结合往年我县竹蝗、竹叶虫、竹笋夜蛾、加拿大一枝黄花等林业有害生物发生和防治情况，特制定本防治方案。</w:t>
      </w:r>
    </w:p>
    <w:p>
      <w:pPr>
        <w:bidi w:val="0"/>
        <w:spacing w:line="360" w:lineRule="auto"/>
        <w:jc w:val="both"/>
        <w:rPr>
          <w:rFonts w:hint="eastAsia" w:ascii="宋体" w:hAnsi="宋体" w:eastAsia="宋体" w:cs="宋体"/>
          <w:b/>
          <w:bCs/>
          <w:sz w:val="28"/>
          <w:szCs w:val="28"/>
          <w:highlight w:val="white"/>
          <w:lang w:val="en-US" w:eastAsia="zh-CN"/>
        </w:rPr>
      </w:pPr>
      <w:r>
        <w:rPr>
          <w:rFonts w:hint="eastAsia" w:ascii="宋体" w:hAnsi="宋体" w:eastAsia="宋体" w:cs="宋体"/>
          <w:b/>
          <w:bCs/>
          <w:sz w:val="28"/>
          <w:szCs w:val="28"/>
          <w:highlight w:val="white"/>
          <w:lang w:val="en-US" w:eastAsia="zh-CN"/>
        </w:rPr>
        <w:t>二、建设规模：</w:t>
      </w:r>
      <w:bookmarkStart w:id="0" w:name="_Hlk135238440"/>
    </w:p>
    <w:bookmarkEnd w:id="0"/>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32"/>
          <w:szCs w:val="32"/>
          <w:lang w:val="en-US" w:eastAsia="zh-CN"/>
        </w:rPr>
      </w:pPr>
      <w:bookmarkStart w:id="1" w:name="_Toc19432"/>
      <w:r>
        <w:rPr>
          <w:rFonts w:hint="eastAsia" w:ascii="宋体" w:hAnsi="宋体" w:eastAsia="宋体" w:cs="宋体"/>
          <w:color w:val="auto"/>
          <w:sz w:val="28"/>
          <w:szCs w:val="28"/>
          <w:highlight w:val="white"/>
          <w:lang w:val="en-US" w:eastAsia="zh-CN"/>
        </w:rPr>
        <w:t>在大塅镇、三都镇、温泉镇、永宁镇、花山林场、龙门林场、茶山林场、大沩山林场等林业有害生物发生严重区域进行防治，根据各单位上报的虫情调查情况及森防站核实情况，防治面积约为2.3万亩（详情见附件1）。</w:t>
      </w:r>
    </w:p>
    <w:p>
      <w:pPr>
        <w:bidi w:val="0"/>
        <w:spacing w:line="360" w:lineRule="auto"/>
        <w:jc w:val="both"/>
        <w:rPr>
          <w:rFonts w:hint="eastAsia" w:ascii="宋体" w:hAnsi="宋体" w:eastAsia="宋体" w:cs="宋体"/>
          <w:b/>
          <w:bCs/>
          <w:sz w:val="28"/>
          <w:szCs w:val="28"/>
          <w:highlight w:val="white"/>
          <w:lang w:val="en-US" w:eastAsia="zh-CN"/>
        </w:rPr>
      </w:pPr>
      <w:r>
        <w:rPr>
          <w:rFonts w:hint="eastAsia" w:ascii="宋体" w:hAnsi="宋体" w:eastAsia="宋体" w:cs="宋体"/>
          <w:b/>
          <w:bCs/>
          <w:sz w:val="28"/>
          <w:szCs w:val="28"/>
          <w:highlight w:val="white"/>
          <w:lang w:val="en-US" w:eastAsia="zh-CN"/>
        </w:rPr>
        <w:t>三、技术要求</w:t>
      </w:r>
    </w:p>
    <w:bookmarkEnd w:id="1"/>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1.毛竹虫害防治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毛竹虫害防治对象主要为竹蝗和竹笋夜蛾；防治时间在7月1日至7月31日进行防治，必须在时间节点内完成防治工作，确因天气原因无法按时完成则顺延；防治方式采用无人机飞防。无人机飞防为每架次飞防面积约为50亩左右；防治药剂为3%阿维菌素·高效氯氰菊酯乳油800-1000倍液，药剂需具备有效的农药“三证”。该药剂对生态影响较小，对人、畜无危害，不污染水源，但对蜂、虾有一定影响，作业时需要采取避让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2.杉木虫害防治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杉木虫害防治对象为白蚁和杉肤小蠹；白蚁防治时间在9月30日前进行防治，防治方式采用人工喷雾和诱饵诱杀；杉肤小蠹防治时间在6月31日前进行防治，防治方式采用无人机飞防，无人机飞防为每架次飞防面积约为50亩左右；防治药剂为8%氯氰菊酯微胶囊800-1000倍液，药剂需具备有效的农药“三证”。该药剂对生态影响较小，对人、畜无危害，不污染水源，但对蜂、虾有一定影响，作业时需要采取避让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3.加拿大一枝黄花除治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加拿大一枝黄花是一种具备高度适应性的破坏性外来入侵物种，繁殖及生长能力强，耐寒、耐瘠薄，生长优势明显。防治方式采用人工挖除焚烧和化学防治相结合；焚烧则为将其花穗剪去，把地上部分和块状茎拔出，集中焚烧干净，防止种子、根状茎和拔出部分的传播扩散；化学药剂防治则为在加拿大一枝黄花开花前后，用二甲四氯钠、草甘膦等灭生性除草剂及其复配剂防除，利用其内吸传导特性杀死地下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b w:val="0"/>
          <w:bCs w:val="0"/>
          <w:sz w:val="32"/>
          <w:szCs w:val="32"/>
          <w:lang w:val="en-US" w:eastAsia="zh-CN"/>
        </w:rPr>
      </w:pPr>
      <w:bookmarkStart w:id="2" w:name="_Toc24207"/>
      <w:r>
        <w:rPr>
          <w:rFonts w:hint="eastAsia" w:ascii="黑体" w:hAnsi="黑体" w:eastAsia="黑体" w:cs="黑体"/>
          <w:b w:val="0"/>
          <w:bCs w:val="0"/>
          <w:sz w:val="32"/>
          <w:szCs w:val="32"/>
          <w:lang w:val="en-US" w:eastAsia="zh-CN"/>
        </w:rPr>
        <w:t>四、防治要求</w:t>
      </w:r>
      <w:bookmarkEnd w:id="2"/>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1.防治公司必须具备有效的营业执照、林业有害生物防治资质等相关资格证，防治经验丰富。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2.防治过程必须严格按照防治区划、时间节点及技术要求进行防治，防治操作人员必须技术娴熟，对防治技术不到位的技术员按要求及时更换，并按要求提供相关的防治轨迹图、飞防记录表、图纸等相关资料。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3.防治过程中无飞行事故、无药害及次生灾害事故，特别注意人、畜安全，操作时严格按规程进行。防治药物必须使用指定药物，农药配制要严格参照使用说明书，掌握好防治期、施药气候及时间。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white"/>
          <w:lang w:val="en-US" w:eastAsia="zh-CN"/>
        </w:rPr>
      </w:pPr>
      <w:r>
        <w:rPr>
          <w:rFonts w:hint="eastAsia" w:ascii="宋体" w:hAnsi="宋体" w:eastAsia="宋体" w:cs="宋体"/>
          <w:color w:val="auto"/>
          <w:sz w:val="28"/>
          <w:szCs w:val="28"/>
          <w:highlight w:val="white"/>
          <w:lang w:val="en-US" w:eastAsia="zh-CN"/>
        </w:rPr>
        <w:t>4.防治公司必须按照林业局及相关单位要求提供充足的防治器械及防治技术人员，因防治公司原因造成的防治不到位、防治效果差、错过防治时间节点的现象由防治公司负责。</w:t>
      </w:r>
    </w:p>
    <w:p>
      <w:pPr>
        <w:numPr>
          <w:ilvl w:val="0"/>
          <w:numId w:val="0"/>
        </w:numPr>
        <w:bidi w:val="0"/>
        <w:spacing w:line="360" w:lineRule="auto"/>
        <w:ind w:firstLine="643" w:firstLineChars="200"/>
        <w:jc w:val="both"/>
        <w:rPr>
          <w:rFonts w:hint="eastAsia"/>
          <w:b/>
          <w:bCs/>
          <w:sz w:val="32"/>
          <w:szCs w:val="32"/>
          <w:highlight w:val="none"/>
          <w:lang w:eastAsia="zh-CN"/>
        </w:rPr>
      </w:pPr>
    </w:p>
    <w:p>
      <w:pPr>
        <w:pStyle w:val="3"/>
        <w:spacing w:line="240" w:lineRule="auto"/>
        <w:ind w:left="0" w:leftChars="0" w:firstLine="0" w:firstLineChars="0"/>
        <w:rPr>
          <w:rFonts w:hint="eastAsia"/>
          <w:b/>
          <w:bCs/>
          <w:sz w:val="32"/>
          <w:szCs w:val="32"/>
          <w:highlight w:val="none"/>
          <w:lang w:eastAsia="zh-CN"/>
        </w:rPr>
      </w:pPr>
    </w:p>
    <w:p>
      <w:pPr>
        <w:pStyle w:val="3"/>
        <w:spacing w:line="240" w:lineRule="auto"/>
        <w:ind w:left="0" w:leftChars="0" w:firstLine="0" w:firstLineChars="0"/>
        <w:rPr>
          <w:rFonts w:hint="eastAsia"/>
          <w:b/>
          <w:bCs/>
          <w:sz w:val="32"/>
          <w:szCs w:val="32"/>
          <w:highlight w:val="none"/>
          <w:lang w:eastAsia="zh-CN"/>
        </w:rPr>
        <w:sectPr>
          <w:footerReference r:id="rId3" w:type="default"/>
          <w:pgSz w:w="11900" w:h="16820"/>
          <w:pgMar w:top="1440" w:right="1360" w:bottom="1440" w:left="1720" w:header="0" w:footer="1220" w:gutter="0"/>
          <w:pgNumType w:fmt="decimal"/>
          <w:cols w:space="720" w:num="1"/>
        </w:sectPr>
      </w:pPr>
    </w:p>
    <w:p>
      <w:pPr>
        <w:pStyle w:val="3"/>
        <w:spacing w:line="240" w:lineRule="auto"/>
        <w:ind w:left="0" w:leftChars="0" w:firstLine="0" w:firstLineChars="0"/>
        <w:rPr>
          <w:rFonts w:hint="eastAsia"/>
          <w:b/>
          <w:bCs/>
          <w:sz w:val="32"/>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rPr>
          <w:rFonts w:hint="eastAsia"/>
          <w:sz w:val="28"/>
          <w:szCs w:val="36"/>
          <w:lang w:val="en-US" w:eastAsia="zh-CN"/>
        </w:rPr>
      </w:pPr>
      <w:r>
        <w:rPr>
          <w:rFonts w:hint="eastAsia"/>
          <w:sz w:val="28"/>
          <w:szCs w:val="36"/>
          <w:lang w:val="en-US" w:eastAsia="zh-CN"/>
        </w:rPr>
        <w:t>附件</w:t>
      </w:r>
    </w:p>
    <w:tbl>
      <w:tblPr>
        <w:tblStyle w:val="5"/>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1896"/>
        <w:gridCol w:w="2154"/>
        <w:gridCol w:w="1609"/>
        <w:gridCol w:w="3273"/>
        <w:gridCol w:w="2018"/>
        <w:gridCol w:w="1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69" w:type="dxa"/>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铜鼓县林业有害生物防治统计汇总表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nil"/>
              <w:left w:val="nil"/>
              <w:bottom w:val="nil"/>
              <w:right w:val="nil"/>
            </w:tcBorders>
            <w:noWrap/>
            <w:vAlign w:val="center"/>
          </w:tcPr>
          <w:p>
            <w:pPr>
              <w:jc w:val="center"/>
              <w:rPr>
                <w:rFonts w:hint="eastAsia" w:ascii="宋体" w:hAnsi="宋体" w:eastAsia="宋体" w:cs="宋体"/>
                <w:i w:val="0"/>
                <w:iCs w:val="0"/>
                <w:color w:val="000000"/>
                <w:sz w:val="40"/>
                <w:szCs w:val="40"/>
                <w:u w:val="none"/>
              </w:rPr>
            </w:pPr>
          </w:p>
        </w:tc>
        <w:tc>
          <w:tcPr>
            <w:tcW w:w="1896" w:type="dxa"/>
            <w:tcBorders>
              <w:top w:val="nil"/>
              <w:left w:val="nil"/>
              <w:bottom w:val="nil"/>
              <w:right w:val="nil"/>
            </w:tcBorders>
            <w:noWrap/>
            <w:vAlign w:val="center"/>
          </w:tcPr>
          <w:p>
            <w:pPr>
              <w:jc w:val="center"/>
              <w:rPr>
                <w:rFonts w:hint="eastAsia" w:ascii="宋体" w:hAnsi="宋体" w:eastAsia="宋体" w:cs="宋体"/>
                <w:i w:val="0"/>
                <w:iCs w:val="0"/>
                <w:color w:val="000000"/>
                <w:sz w:val="40"/>
                <w:szCs w:val="40"/>
                <w:u w:val="none"/>
              </w:rPr>
            </w:pPr>
          </w:p>
        </w:tc>
        <w:tc>
          <w:tcPr>
            <w:tcW w:w="2154" w:type="dxa"/>
            <w:tcBorders>
              <w:top w:val="nil"/>
              <w:left w:val="nil"/>
              <w:bottom w:val="nil"/>
              <w:right w:val="nil"/>
            </w:tcBorders>
            <w:noWrap/>
            <w:vAlign w:val="center"/>
          </w:tcPr>
          <w:p>
            <w:pPr>
              <w:jc w:val="center"/>
              <w:rPr>
                <w:rFonts w:hint="eastAsia" w:ascii="宋体" w:hAnsi="宋体" w:eastAsia="宋体" w:cs="宋体"/>
                <w:i w:val="0"/>
                <w:iCs w:val="0"/>
                <w:color w:val="000000"/>
                <w:sz w:val="40"/>
                <w:szCs w:val="40"/>
                <w:u w:val="none"/>
              </w:rPr>
            </w:pPr>
          </w:p>
        </w:tc>
        <w:tc>
          <w:tcPr>
            <w:tcW w:w="1609" w:type="dxa"/>
            <w:tcBorders>
              <w:top w:val="nil"/>
              <w:left w:val="nil"/>
              <w:bottom w:val="nil"/>
              <w:right w:val="nil"/>
            </w:tcBorders>
            <w:noWrap/>
            <w:vAlign w:val="center"/>
          </w:tcPr>
          <w:p>
            <w:pPr>
              <w:jc w:val="center"/>
              <w:rPr>
                <w:rFonts w:hint="eastAsia" w:ascii="宋体" w:hAnsi="宋体" w:eastAsia="宋体" w:cs="宋体"/>
                <w:i w:val="0"/>
                <w:iCs w:val="0"/>
                <w:color w:val="000000"/>
                <w:sz w:val="40"/>
                <w:szCs w:val="40"/>
                <w:u w:val="none"/>
              </w:rPr>
            </w:pPr>
          </w:p>
        </w:tc>
        <w:tc>
          <w:tcPr>
            <w:tcW w:w="3273" w:type="dxa"/>
            <w:tcBorders>
              <w:top w:val="nil"/>
              <w:left w:val="nil"/>
              <w:bottom w:val="nil"/>
              <w:right w:val="nil"/>
            </w:tcBorders>
            <w:noWrap/>
            <w:vAlign w:val="center"/>
          </w:tcPr>
          <w:p>
            <w:pPr>
              <w:jc w:val="center"/>
              <w:rPr>
                <w:rFonts w:hint="eastAsia" w:ascii="宋体" w:hAnsi="宋体" w:eastAsia="宋体" w:cs="宋体"/>
                <w:i w:val="0"/>
                <w:iCs w:val="0"/>
                <w:color w:val="000000"/>
                <w:sz w:val="40"/>
                <w:szCs w:val="40"/>
                <w:u w:val="none"/>
              </w:rPr>
            </w:pPr>
          </w:p>
        </w:tc>
        <w:tc>
          <w:tcPr>
            <w:tcW w:w="3955"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乡（镇）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村组</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寄主树种</w:t>
            </w: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有害生物名称</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防治面积</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23360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大塅镇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双红村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竹蝗</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12184</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三都镇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大槽村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毛竹虫害</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3064</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排埠镇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三溪村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竹蝗</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温泉镇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群生林场</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竹笋禾夜蛾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温泉镇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新开村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竹笋禾夜蛾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温泉镇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石桥村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竹笋禾夜蛾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温泉镇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上庄村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竹笋禾夜蛾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棋坪镇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大梅村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竹叶虫</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永宁镇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八亩村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Arial" w:hAnsi="Arial" w:eastAsia="宋体" w:cs="Arial"/>
                <w:i w:val="0"/>
                <w:iCs w:val="0"/>
                <w:color w:val="323232"/>
                <w:sz w:val="24"/>
                <w:szCs w:val="24"/>
                <w:u w:val="none"/>
              </w:rPr>
            </w:pPr>
            <w:r>
              <w:rPr>
                <w:rFonts w:hint="default" w:ascii="Arial" w:hAnsi="Arial" w:eastAsia="宋体" w:cs="Arial"/>
                <w:i w:val="0"/>
                <w:iCs w:val="0"/>
                <w:color w:val="333333"/>
                <w:kern w:val="0"/>
                <w:sz w:val="24"/>
                <w:szCs w:val="24"/>
                <w:u w:val="none"/>
                <w:lang w:val="en-US" w:eastAsia="zh-CN" w:bidi="ar"/>
              </w:rPr>
              <w:t>竹笋夜蛾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永宁镇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兴源村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323232"/>
                <w:sz w:val="24"/>
                <w:szCs w:val="24"/>
                <w:u w:val="none"/>
              </w:rPr>
            </w:pPr>
            <w:r>
              <w:rPr>
                <w:rFonts w:hint="default" w:ascii="Arial" w:hAnsi="Arial" w:eastAsia="宋体" w:cs="Arial"/>
                <w:i w:val="0"/>
                <w:iCs w:val="0"/>
                <w:color w:val="333333"/>
                <w:kern w:val="0"/>
                <w:sz w:val="24"/>
                <w:szCs w:val="24"/>
                <w:u w:val="none"/>
                <w:lang w:val="en-US" w:eastAsia="zh-CN" w:bidi="ar"/>
              </w:rPr>
              <w:t>竹笋夜蛾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永宁镇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坪田村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323232"/>
                <w:sz w:val="24"/>
                <w:szCs w:val="24"/>
                <w:u w:val="none"/>
              </w:rPr>
            </w:pPr>
            <w:r>
              <w:rPr>
                <w:rFonts w:hint="default" w:ascii="Arial" w:hAnsi="Arial" w:eastAsia="宋体" w:cs="Arial"/>
                <w:i w:val="0"/>
                <w:iCs w:val="0"/>
                <w:color w:val="333333"/>
                <w:kern w:val="0"/>
                <w:sz w:val="24"/>
                <w:szCs w:val="24"/>
                <w:u w:val="none"/>
                <w:lang w:val="en-US" w:eastAsia="zh-CN" w:bidi="ar"/>
              </w:rPr>
              <w:t>竹笋夜蛾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永宁镇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顺化村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323232"/>
                <w:sz w:val="24"/>
                <w:szCs w:val="24"/>
                <w:u w:val="none"/>
              </w:rPr>
            </w:pPr>
            <w:r>
              <w:rPr>
                <w:rFonts w:hint="default" w:ascii="Arial" w:hAnsi="Arial" w:eastAsia="宋体" w:cs="Arial"/>
                <w:i w:val="0"/>
                <w:iCs w:val="0"/>
                <w:color w:val="333333"/>
                <w:kern w:val="0"/>
                <w:sz w:val="24"/>
                <w:szCs w:val="24"/>
                <w:u w:val="none"/>
                <w:lang w:val="en-US" w:eastAsia="zh-CN" w:bidi="ar"/>
              </w:rPr>
              <w:t>竹笋夜蛾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花山林场</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竹笋禾夜蛾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龙门林场</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竹笋禾夜蛾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茶山林场</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竹笋禾夜蛾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大沩山林场</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毛竹</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竹笋禾夜蛾</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1052</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21578</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大塅镇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双红村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杉木</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白蚁</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茶山林场</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杉木</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杉肤小蠹</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林业公司</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杉木</w:t>
            </w: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杉肤小蠹</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1715</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三都镇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枫槎村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加拿大一枝黄花</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三都镇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东浒村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加拿大一枝黄花</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大塅镇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九龙村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加拿大一枝黄花</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大塅镇</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居委会</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加拿大一枝黄花</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带溪乡</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高岭村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加拿大一枝黄花</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带溪乡</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大群村</w:t>
            </w: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加拿大一枝黄花</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1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6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32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bl>
    <w:p>
      <w:pPr>
        <w:pStyle w:val="3"/>
        <w:spacing w:line="240" w:lineRule="auto"/>
        <w:ind w:left="0" w:leftChars="0" w:firstLine="0" w:firstLineChars="0"/>
        <w:rPr>
          <w:rFonts w:hint="eastAsia"/>
          <w:b/>
          <w:bCs/>
          <w:sz w:val="32"/>
          <w:szCs w:val="32"/>
          <w:highlight w:val="none"/>
          <w:lang w:eastAsia="zh-CN"/>
        </w:rPr>
        <w:sectPr>
          <w:pgSz w:w="16820" w:h="11900" w:orient="landscape"/>
          <w:pgMar w:top="1720" w:right="1440" w:bottom="1360" w:left="1440" w:header="0" w:footer="1220" w:gutter="0"/>
          <w:pgNumType w:fmt="decimal"/>
          <w:cols w:space="720" w:num="1"/>
        </w:sectPr>
      </w:pPr>
    </w:p>
    <w:p>
      <w:pPr>
        <w:pStyle w:val="3"/>
        <w:ind w:left="0" w:leftChars="0" w:firstLine="0" w:firstLineChars="0"/>
        <w:rPr>
          <w:rFonts w:hint="eastAsia"/>
          <w:b/>
          <w:bCs/>
          <w:sz w:val="32"/>
          <w:szCs w:val="32"/>
          <w:highlight w:val="none"/>
          <w:lang w:eastAsia="zh-CN"/>
        </w:rPr>
      </w:pPr>
    </w:p>
    <w:p>
      <w:pPr>
        <w:numPr>
          <w:ilvl w:val="0"/>
          <w:numId w:val="1"/>
        </w:numPr>
        <w:bidi w:val="0"/>
        <w:spacing w:line="360" w:lineRule="auto"/>
        <w:ind w:left="0" w:leftChars="0" w:firstLine="0" w:firstLineChars="0"/>
        <w:jc w:val="center"/>
        <w:rPr>
          <w:rFonts w:hint="eastAsia"/>
          <w:b/>
          <w:bCs/>
          <w:sz w:val="32"/>
          <w:szCs w:val="32"/>
          <w:highlight w:val="white"/>
          <w:lang w:val="en-US" w:eastAsia="zh-CN"/>
        </w:rPr>
      </w:pPr>
      <w:r>
        <w:rPr>
          <w:rFonts w:hint="eastAsia"/>
          <w:b/>
          <w:bCs/>
          <w:sz w:val="32"/>
          <w:szCs w:val="32"/>
          <w:highlight w:val="white"/>
          <w:lang w:eastAsia="zh-CN"/>
        </w:rPr>
        <w:t>商务需求</w:t>
      </w:r>
    </w:p>
    <w:p>
      <w:pPr>
        <w:numPr>
          <w:ilvl w:val="0"/>
          <w:numId w:val="0"/>
        </w:numPr>
        <w:bidi w:val="0"/>
        <w:spacing w:line="360" w:lineRule="auto"/>
        <w:jc w:val="both"/>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white"/>
          <w:lang w:val="en-US" w:eastAsia="zh-CN"/>
        </w:rPr>
        <w:t>1、</w:t>
      </w:r>
      <w:r>
        <w:rPr>
          <w:rFonts w:hint="eastAsia" w:ascii="宋体" w:hAnsi="宋体" w:eastAsia="宋体" w:cs="宋体"/>
          <w:b/>
          <w:bCs/>
          <w:color w:val="auto"/>
          <w:sz w:val="28"/>
          <w:szCs w:val="28"/>
          <w:highlight w:val="white"/>
          <w:lang w:eastAsia="zh-CN"/>
        </w:rPr>
        <w:t>付款方式：</w:t>
      </w:r>
      <w:r>
        <w:rPr>
          <w:rFonts w:hint="eastAsia" w:ascii="宋体" w:hAnsi="宋体" w:eastAsia="宋体" w:cs="宋体"/>
          <w:b w:val="0"/>
          <w:bCs w:val="0"/>
          <w:color w:val="000000"/>
          <w:kern w:val="2"/>
          <w:sz w:val="28"/>
          <w:szCs w:val="28"/>
          <w:lang w:val="en-US" w:eastAsia="zh-CN" w:bidi="ar-SA"/>
        </w:rPr>
        <w:t>合同签订后，在第二次飞防作业结束且采购人验收合格后 30个工作日内支付合同总金额的100%，（以上均为无息支付）.</w:t>
      </w:r>
    </w:p>
    <w:p>
      <w:pPr>
        <w:numPr>
          <w:ilvl w:val="0"/>
          <w:numId w:val="2"/>
        </w:numPr>
        <w:bidi w:val="0"/>
        <w:spacing w:line="360" w:lineRule="auto"/>
        <w:jc w:val="left"/>
        <w:rPr>
          <w:rFonts w:hint="eastAsia" w:ascii="宋体" w:hAnsi="宋体" w:eastAsia="宋体" w:cs="宋体"/>
          <w:color w:val="auto"/>
          <w:sz w:val="28"/>
          <w:szCs w:val="28"/>
          <w:highlight w:val="white"/>
          <w:lang w:eastAsia="zh-CN"/>
        </w:rPr>
      </w:pPr>
      <w:r>
        <w:rPr>
          <w:rFonts w:hint="eastAsia" w:ascii="宋体" w:hAnsi="宋体" w:eastAsia="宋体" w:cs="宋体"/>
          <w:b/>
          <w:bCs/>
          <w:color w:val="auto"/>
          <w:sz w:val="28"/>
          <w:szCs w:val="28"/>
          <w:highlight w:val="white"/>
          <w:lang w:eastAsia="zh-CN"/>
        </w:rPr>
        <w:t>服务地点：</w:t>
      </w:r>
      <w:r>
        <w:rPr>
          <w:rFonts w:hint="eastAsia" w:ascii="宋体" w:hAnsi="宋体" w:eastAsia="宋体" w:cs="宋体"/>
          <w:color w:val="auto"/>
          <w:sz w:val="28"/>
          <w:szCs w:val="28"/>
          <w:highlight w:val="white"/>
          <w:lang w:val="en-US" w:eastAsia="zh-CN"/>
        </w:rPr>
        <w:t>铜鼓县境内</w:t>
      </w:r>
    </w:p>
    <w:p>
      <w:pPr>
        <w:numPr>
          <w:ilvl w:val="0"/>
          <w:numId w:val="2"/>
        </w:numPr>
        <w:bidi w:val="0"/>
        <w:spacing w:line="360" w:lineRule="auto"/>
        <w:ind w:left="0" w:leftChars="0" w:firstLine="0" w:firstLineChars="0"/>
        <w:jc w:val="both"/>
        <w:rPr>
          <w:rFonts w:hint="eastAsia" w:ascii="宋体" w:hAnsi="宋体" w:cs="宋体"/>
          <w:color w:val="auto"/>
          <w:sz w:val="28"/>
          <w:szCs w:val="28"/>
          <w:highlight w:val="white"/>
          <w:lang w:val="en-US" w:eastAsia="zh-CN"/>
        </w:rPr>
      </w:pPr>
      <w:r>
        <w:rPr>
          <w:rFonts w:hint="eastAsia" w:ascii="宋体" w:hAnsi="宋体" w:eastAsia="宋体" w:cs="宋体"/>
          <w:b/>
          <w:bCs/>
          <w:color w:val="auto"/>
          <w:sz w:val="28"/>
          <w:szCs w:val="28"/>
          <w:highlight w:val="white"/>
          <w:lang w:val="en-US" w:eastAsia="zh-CN"/>
        </w:rPr>
        <w:t>服务期限</w:t>
      </w:r>
      <w:r>
        <w:rPr>
          <w:rFonts w:hint="eastAsia" w:ascii="宋体" w:hAnsi="宋体" w:eastAsia="宋体" w:cs="宋体"/>
          <w:color w:val="auto"/>
          <w:sz w:val="28"/>
          <w:szCs w:val="28"/>
          <w:highlight w:val="white"/>
          <w:lang w:val="en-US" w:eastAsia="zh-CN"/>
        </w:rPr>
        <w:t>：</w:t>
      </w:r>
      <w:r>
        <w:rPr>
          <w:rFonts w:hint="eastAsia" w:ascii="宋体" w:hAnsi="宋体" w:cs="宋体"/>
          <w:color w:val="auto"/>
          <w:sz w:val="28"/>
          <w:szCs w:val="28"/>
          <w:highlight w:val="white"/>
          <w:lang w:val="en-US" w:eastAsia="zh-CN"/>
        </w:rPr>
        <w:t>一年</w:t>
      </w:r>
    </w:p>
    <w:p>
      <w:pPr>
        <w:spacing w:line="480" w:lineRule="auto"/>
        <w:rPr>
          <w:rFonts w:hint="eastAsia" w:ascii="宋体" w:hAnsi="宋体" w:cs="宋体"/>
          <w:color w:val="auto"/>
          <w:sz w:val="28"/>
          <w:szCs w:val="28"/>
          <w:highlight w:val="white"/>
          <w:lang w:val="en-US" w:eastAsia="zh-CN"/>
        </w:rPr>
      </w:pPr>
      <w:r>
        <w:rPr>
          <w:rFonts w:hint="eastAsia" w:ascii="宋体" w:hAnsi="宋体" w:cs="宋体"/>
          <w:color w:val="auto"/>
          <w:sz w:val="28"/>
          <w:szCs w:val="28"/>
          <w:highlight w:val="white"/>
          <w:lang w:val="en-US" w:eastAsia="zh-CN"/>
        </w:rPr>
        <w:t>4、</w:t>
      </w:r>
      <w:r>
        <w:rPr>
          <w:rFonts w:hint="eastAsia" w:ascii="宋体" w:hAnsi="宋体" w:eastAsia="宋体" w:cs="宋体"/>
          <w:b/>
          <w:bCs/>
          <w:color w:val="000000"/>
          <w:kern w:val="2"/>
          <w:sz w:val="28"/>
          <w:szCs w:val="28"/>
          <w:lang w:val="en-US" w:eastAsia="zh-CN" w:bidi="ar-SA"/>
        </w:rPr>
        <w:t>报价要求：</w:t>
      </w:r>
      <w:r>
        <w:rPr>
          <w:rFonts w:hint="eastAsia" w:ascii="宋体" w:hAnsi="宋体" w:eastAsia="宋体" w:cs="宋体"/>
          <w:b w:val="0"/>
          <w:bCs w:val="0"/>
          <w:color w:val="000000"/>
          <w:kern w:val="2"/>
          <w:sz w:val="28"/>
          <w:szCs w:val="28"/>
          <w:lang w:val="en-US" w:eastAsia="zh-CN" w:bidi="ar-SA"/>
        </w:rPr>
        <w:t>以人民币报价，响应供应商报价应包括的人员薪资、医保社保费用、福利、应缴税费、管理费、差旅费、加班、工具、耗材、管理、税费等一切费用等所有费有，以及响应供应商认为必要的其他货物、材料、服务。</w:t>
      </w:r>
    </w:p>
    <w:p>
      <w:pPr>
        <w:numPr>
          <w:ilvl w:val="0"/>
          <w:numId w:val="0"/>
        </w:numPr>
        <w:bidi w:val="0"/>
        <w:spacing w:line="360" w:lineRule="auto"/>
        <w:ind w:leftChars="0"/>
        <w:jc w:val="both"/>
        <w:rPr>
          <w:rFonts w:hint="eastAsia"/>
          <w:sz w:val="48"/>
          <w:szCs w:val="24"/>
          <w:highlight w:val="white"/>
        </w:rPr>
      </w:pPr>
      <w:r>
        <w:rPr>
          <w:rFonts w:hint="eastAsia" w:ascii="宋体" w:hAnsi="宋体" w:cs="宋体"/>
          <w:b/>
          <w:bCs/>
          <w:sz w:val="28"/>
          <w:szCs w:val="28"/>
          <w:highlight w:val="white"/>
          <w:lang w:val="en-US" w:eastAsia="zh-CN"/>
        </w:rPr>
        <w:t>5</w:t>
      </w:r>
      <w:r>
        <w:rPr>
          <w:rFonts w:hint="eastAsia" w:ascii="宋体" w:hAnsi="宋体" w:eastAsia="宋体" w:cs="宋体"/>
          <w:b/>
          <w:bCs/>
          <w:sz w:val="28"/>
          <w:szCs w:val="28"/>
          <w:highlight w:val="white"/>
          <w:lang w:eastAsia="zh-CN"/>
        </w:rPr>
        <w:t>. 验收方式</w:t>
      </w:r>
      <w:r>
        <w:rPr>
          <w:rFonts w:hint="eastAsia" w:ascii="宋体" w:hAnsi="宋体" w:cs="宋体"/>
          <w:b/>
          <w:bCs/>
          <w:sz w:val="28"/>
          <w:szCs w:val="28"/>
          <w:highlight w:val="white"/>
          <w:lang w:eastAsia="zh-CN"/>
        </w:rPr>
        <w:t>：</w:t>
      </w:r>
      <w:r>
        <w:rPr>
          <w:rFonts w:hint="eastAsia" w:ascii="宋体" w:hAnsi="宋体" w:eastAsia="宋体" w:cs="宋体"/>
          <w:b w:val="0"/>
          <w:bCs w:val="0"/>
          <w:kern w:val="0"/>
          <w:sz w:val="28"/>
          <w:szCs w:val="28"/>
          <w:highlight w:val="white"/>
          <w:lang w:val="en-US" w:eastAsia="zh-CN"/>
        </w:rPr>
        <w:t>由县林业局组织专家组对防治区划的防治面积以及防治效果进行检查验收。</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spacing w:line="300" w:lineRule="exact"/>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bidi w:val="0"/>
                          </w:pPr>
                          <w:r>
                            <w:fldChar w:fldCharType="begin"/>
                          </w:r>
                          <w:r>
                            <w:rPr>
                              <w:highlight w:val="white"/>
                            </w:rPr>
                            <w:instrText xml:space="preserve"> PAGE  \* MERGEFORMAT </w:instrText>
                          </w:r>
                          <w:r>
                            <w:fldChar w:fldCharType="separate"/>
                          </w:r>
                          <w:r>
                            <w:rPr>
                              <w:highlight w:val="white"/>
                            </w:rP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4"/>
                      <w:bidi w:val="0"/>
                    </w:pPr>
                    <w:r>
                      <w:fldChar w:fldCharType="begin"/>
                    </w:r>
                    <w:r>
                      <w:rPr>
                        <w:highlight w:val="white"/>
                      </w:rPr>
                      <w:instrText xml:space="preserve"> PAGE  \* MERGEFORMAT </w:instrText>
                    </w:r>
                    <w:r>
                      <w:fldChar w:fldCharType="separate"/>
                    </w:r>
                    <w:r>
                      <w:rPr>
                        <w:highlight w:val="white"/>
                      </w:rPr>
                      <w:t>59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A3F24"/>
    <w:multiLevelType w:val="singleLevel"/>
    <w:tmpl w:val="BCEA3F24"/>
    <w:lvl w:ilvl="0" w:tentative="0">
      <w:start w:val="2"/>
      <w:numFmt w:val="decimal"/>
      <w:suff w:val="nothing"/>
      <w:lvlText w:val="%1、"/>
      <w:lvlJc w:val="left"/>
    </w:lvl>
  </w:abstractNum>
  <w:abstractNum w:abstractNumId="1">
    <w:nsid w:val="7919A35F"/>
    <w:multiLevelType w:val="singleLevel"/>
    <w:tmpl w:val="7919A35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DgwNDNjOTAwODkwYTkzNTBmMmQzY2ZmYWRhYmMifQ=="/>
  </w:docVars>
  <w:rsids>
    <w:rsidRoot w:val="1B8326F6"/>
    <w:rsid w:val="1B83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2024-05-14T08:36:00Z</dcterms:created>
  <dc:creator>邱秀</dc:creator>
  <cp:lastModifiedBy>邱秀</cp:lastModifiedBy>
  <dcterms:modified xsi:type="dcterms:W3CDTF">2024-05-14T08:37:42Z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EF3D1FF9E982403F9A903FBC4E59232E_11</vt:lpwstr>
  </property>
</Properties>
</file>