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CESI仿宋-GB2312" w:hAnsi="CESI仿宋-GB2312" w:eastAsia="CESI仿宋-GB2312" w:cs="CESI仿宋-GB2312"/>
          <w:sz w:val="44"/>
          <w:szCs w:val="44"/>
        </w:rPr>
      </w:pPr>
      <w:r>
        <w:rPr>
          <w:rFonts w:hint="eastAsia" w:ascii="CESI仿宋-GB2312" w:hAnsi="CESI仿宋-GB2312" w:eastAsia="CESI仿宋-GB2312" w:cs="CESI仿宋-GB2312"/>
          <w:sz w:val="44"/>
          <w:szCs w:val="44"/>
        </w:rPr>
        <w:t>达州市投资有限公司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CESI仿宋-GB2312" w:hAnsi="CESI仿宋-GB2312" w:eastAsia="CESI仿宋-GB2312" w:cs="CESI仿宋-GB2312"/>
          <w:sz w:val="44"/>
          <w:szCs w:val="44"/>
        </w:rPr>
      </w:pPr>
      <w:r>
        <w:rPr>
          <w:rFonts w:hint="eastAsia" w:ascii="CESI仿宋-GB2312" w:hAnsi="CESI仿宋-GB2312" w:eastAsia="CESI仿宋-GB2312" w:cs="CESI仿宋-GB2312"/>
          <w:sz w:val="44"/>
          <w:szCs w:val="44"/>
          <w:lang w:eastAsia="zh-CN"/>
        </w:rPr>
        <w:t>万达开科技创新示范园白蚁防治采购项目（第二次）</w:t>
      </w:r>
      <w:r>
        <w:rPr>
          <w:rFonts w:hint="eastAsia" w:ascii="CESI仿宋-GB2312" w:hAnsi="CESI仿宋-GB2312" w:eastAsia="CESI仿宋-GB2312" w:cs="CESI仿宋-GB2312"/>
          <w:sz w:val="44"/>
          <w:szCs w:val="44"/>
        </w:rPr>
        <w:t>竞争性谈判文件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我司拟对“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万达开科技创新示范园白蚁防治采购项目（第二次）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”进行竞争性谈判采购。兹邀请符合要求的供应商参加竞争性谈判。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项目名称：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万达开科技创新示范园白蚁防治采购项目（第二次）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二、选取方式：为提高工作效率，坚持公开、公平、公正的原则，通过竞争性谈判的方式确定成交供应商，竞争性谈判公告在公司网站公告3个工作日，邀请有能力服务此项目的供应商参加，应不低于3家机构参与，否则终止谈判，通过两轮报价后最低者为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三、采购人：达州市投资有限公司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四、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服务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项目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的基本情况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新建企业孵化基地约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26.8万平方米，配套建设停车场、充电桩、给排水、基地内道路等相关附属设施等。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578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服务范围：</w:t>
      </w: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万达开科技创新示范园项目建筑面积约131278.18m2（1#楼13层40988.86m2，2#楼8层28961.59m2，3#楼3层19326.02m2，车库2层42001.71m2）。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五、采购限价：14万元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、供应商资格条件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具有独立承担民事责任的能力；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具有良好的商业信誉；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具有履行合同所必须的设备和专业技术能力；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具有依法缴纳税收和社会保障资金的良好记录；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参加本次政府采购活动前三年内，在经营活动中没有重大违法记录；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法律、行政法规规定的其他条件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六、其他事项：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1.参与竞争性谈判的供应商必须携带单位法定代表人/单位负责人身份证明书或法定代表人/单位负责人授权委托书原件、授权委托人身份证复印件、单位基本情况介绍（附营业执照副本复印件），上述资料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附件1、2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须加盖单位公章。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2.参与竞争性谈判的供应商按照附件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准备报价材料，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相关附件资料均需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加盖单位公章后一并密封。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bidi="ar"/>
        </w:rPr>
        <w:t>现场谈判后再举行第二轮报价，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 w:bidi="ar"/>
        </w:rPr>
        <w:t>第二轮报价不得高于第一轮报价，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bidi="ar"/>
        </w:rPr>
        <w:t>第二轮报价为最终报价，该采购内容最高限价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bidi="ar"/>
        </w:rPr>
        <w:t>万元，高于限价的作废标处理，两轮报价后最低者为成交供应商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3.竞争性谈判时间：20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4.竞价性谈判地点：四川省达州市投资有限公司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楼会议室。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若贵方愿意，请按上述事项要求参与。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：1.法定代表人/单位负责人身份证明书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2.法定代表人/单位负责人授权委托书（格式）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3.万达开科技创新示范园白蚁防治采购报价表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4.资格承诺函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达州市投资有限公司</w:t>
      </w:r>
    </w:p>
    <w:p>
      <w:pPr>
        <w:ind w:firstLine="5760" w:firstLineChars="18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日 </w:t>
      </w:r>
    </w:p>
    <w:p>
      <w:pPr>
        <w:spacing w:line="500" w:lineRule="exact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hint="eastAsia" w:ascii="CESI仿宋-GB2312" w:hAnsi="CESI仿宋-GB2312" w:eastAsia="CESI仿宋-GB2312" w:cs="CESI仿宋-GB2312"/>
          <w:sz w:val="36"/>
          <w:szCs w:val="36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</w:rPr>
        <w:t>法定代表人/单位负责人身份证明书</w:t>
      </w:r>
    </w:p>
    <w:p>
      <w:pPr>
        <w:spacing w:line="578" w:lineRule="exact"/>
        <w:outlineLvl w:val="0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</w:t>
      </w:r>
    </w:p>
    <w:p>
      <w:pPr>
        <w:spacing w:line="578" w:lineRule="exact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单位名称：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地    址：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姓名：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性别：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年龄：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职务：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系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的法定代表人/单位负责人，负责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万达开科技创新示范园白蚁防治采购项目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竞争性谈判的一切事务。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特此证明。</w:t>
      </w:r>
    </w:p>
    <w:p>
      <w:pPr>
        <w:spacing w:line="578" w:lineRule="exact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spacing w:line="578" w:lineRule="exact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参竞单位：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（全称、公章）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日期：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</w:p>
    <w:p>
      <w:pPr>
        <w:spacing w:line="578" w:lineRule="exact"/>
        <w:outlineLvl w:val="0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</w:t>
      </w:r>
    </w:p>
    <w:p>
      <w:pPr>
        <w:spacing w:line="500" w:lineRule="exact"/>
        <w:outlineLvl w:val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spacing w:line="500" w:lineRule="exact"/>
        <w:outlineLvl w:val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spacing w:line="500" w:lineRule="exact"/>
        <w:outlineLvl w:val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spacing w:line="500" w:lineRule="exact"/>
        <w:outlineLvl w:val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spacing w:line="500" w:lineRule="exact"/>
        <w:outlineLvl w:val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pStyle w:val="3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pStyle w:val="3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spacing w:line="500" w:lineRule="exact"/>
        <w:outlineLvl w:val="0"/>
        <w:rPr>
          <w:rFonts w:hint="eastAsia" w:ascii="CESI仿宋-GB2312" w:hAnsi="CESI仿宋-GB2312" w:eastAsia="CESI仿宋-GB2312" w:cs="CESI仿宋-GB2312"/>
          <w:sz w:val="36"/>
          <w:szCs w:val="36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附件2： </w:t>
      </w:r>
    </w:p>
    <w:p>
      <w:pPr>
        <w:spacing w:line="578" w:lineRule="exact"/>
        <w:jc w:val="center"/>
        <w:outlineLvl w:val="0"/>
        <w:rPr>
          <w:rFonts w:hint="eastAsia" w:ascii="CESI仿宋-GB2312" w:hAnsi="CESI仿宋-GB2312" w:eastAsia="CESI仿宋-GB2312" w:cs="CESI仿宋-GB2312"/>
          <w:sz w:val="36"/>
          <w:szCs w:val="36"/>
        </w:rPr>
      </w:pPr>
    </w:p>
    <w:p>
      <w:pPr>
        <w:spacing w:line="578" w:lineRule="exact"/>
        <w:jc w:val="center"/>
        <w:outlineLvl w:val="0"/>
        <w:rPr>
          <w:rFonts w:hint="eastAsia" w:ascii="CESI仿宋-GB2312" w:hAnsi="CESI仿宋-GB2312" w:eastAsia="CESI仿宋-GB2312" w:cs="CESI仿宋-GB2312"/>
          <w:sz w:val="36"/>
          <w:szCs w:val="36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</w:rPr>
        <w:t>法定代表人/单位负责人授权委托书（格式）</w:t>
      </w:r>
    </w:p>
    <w:p>
      <w:pPr>
        <w:spacing w:line="578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本授权书声明：我单位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（参竞单位名称），现授权委托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（姓名）为我公司代理人，以本公司的名义参加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万达开科技创新示范园白蚁防治采购项目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竞争性谈判，代理人在竞争性谈判过程中以本公司名义处理一切与之有关的事务，我均予以承认。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代理人无转委权，特此委托。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代理人：             性别：           年龄：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单位：               部门：           职务：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参竞单位：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（全称、盖章）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参竞单位法定代表人/负责人：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（签字）</w:t>
      </w:r>
    </w:p>
    <w:p>
      <w:pPr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代理人：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（签字）</w:t>
      </w:r>
    </w:p>
    <w:p>
      <w:pPr>
        <w:spacing w:line="578" w:lineRule="exact"/>
        <w:ind w:firstLine="640" w:firstLineChars="200"/>
        <w:outlineLvl w:val="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日期：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</w:p>
    <w:p>
      <w:pPr>
        <w:ind w:right="256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ind w:right="256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ind w:right="256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ind w:right="256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ind w:right="256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附件3：</w:t>
      </w:r>
    </w:p>
    <w:p>
      <w:pPr>
        <w:spacing w:line="578" w:lineRule="exact"/>
        <w:jc w:val="center"/>
        <w:rPr>
          <w:rFonts w:hint="eastAsia" w:ascii="CESI仿宋-GB2312" w:hAnsi="CESI仿宋-GB2312" w:eastAsia="CESI仿宋-GB2312" w:cs="CESI仿宋-GB2312"/>
          <w:sz w:val="36"/>
          <w:szCs w:val="36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  <w:lang w:val="en-US" w:eastAsia="zh-CN"/>
        </w:rPr>
        <w:t>达州市投资有限公司</w:t>
      </w:r>
    </w:p>
    <w:p>
      <w:pPr>
        <w:spacing w:line="578" w:lineRule="exact"/>
        <w:jc w:val="center"/>
        <w:rPr>
          <w:rFonts w:hint="eastAsia" w:ascii="CESI仿宋-GB2312" w:hAnsi="CESI仿宋-GB2312" w:eastAsia="CESI仿宋-GB2312" w:cs="CESI仿宋-GB2312"/>
          <w:sz w:val="36"/>
          <w:szCs w:val="36"/>
          <w:lang w:eastAsia="zh-CN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  <w:lang w:eastAsia="zh-CN"/>
        </w:rPr>
        <w:t>万达开科技创新示范园白蚁防治采购项目</w:t>
      </w:r>
    </w:p>
    <w:p>
      <w:pPr>
        <w:spacing w:line="578" w:lineRule="exact"/>
        <w:jc w:val="center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</w:rPr>
        <w:t>竞争性谈判第一轮报价表</w:t>
      </w:r>
    </w:p>
    <w:tbl>
      <w:tblPr>
        <w:tblStyle w:val="5"/>
        <w:tblW w:w="9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7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lang w:val="en-US" w:eastAsia="zh-CN"/>
              </w:rPr>
              <w:t>报价金额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lang w:val="en-US" w:eastAsia="zh-CN"/>
              </w:rPr>
              <w:t>万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6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840" w:hanging="840" w:hangingChars="300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注明：现场谈判后再举行第二轮报价，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第二轮报价不得高于第一轮报价，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第二轮报价为最终报价，该采购内容最高限价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14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万元，高于限价的作废标处理，两轮报价后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报价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最低者为成交供应商。</w:t>
      </w:r>
    </w:p>
    <w:p>
      <w:pPr>
        <w:pStyle w:val="3"/>
        <w:spacing w:line="360" w:lineRule="exact"/>
        <w:ind w:left="0" w:leftChars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pStyle w:val="3"/>
        <w:spacing w:line="360" w:lineRule="exact"/>
        <w:ind w:left="0" w:leftChars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pStyle w:val="3"/>
        <w:spacing w:line="360" w:lineRule="exact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            </w:t>
      </w:r>
    </w:p>
    <w:p>
      <w:pPr>
        <w:pStyle w:val="3"/>
        <w:spacing w:line="360" w:lineRule="exact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参竞单位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（单位公章）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联系人：</w:t>
      </w: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pStyle w:val="3"/>
        <w:spacing w:line="360" w:lineRule="exact"/>
        <w:rPr>
          <w:rFonts w:hint="eastAsia" w:ascii="CESI仿宋-GB2312" w:hAnsi="CESI仿宋-GB2312" w:eastAsia="CESI仿宋-GB2312" w:cs="CESI仿宋-GB2312"/>
          <w:color w:val="000000"/>
          <w:kern w:val="0"/>
          <w:sz w:val="28"/>
          <w:szCs w:val="28"/>
          <w:lang w:bidi="ar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247" w:bottom="1418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                             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28"/>
          <w:szCs w:val="28"/>
          <w:lang w:bidi="ar"/>
        </w:rPr>
        <w:t xml:space="preserve"> 年  月   日</w:t>
      </w:r>
    </w:p>
    <w:p>
      <w:pPr>
        <w:ind w:right="256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附件3：</w:t>
      </w:r>
    </w:p>
    <w:p>
      <w:pPr>
        <w:spacing w:line="578" w:lineRule="exact"/>
        <w:jc w:val="center"/>
        <w:rPr>
          <w:rFonts w:hint="eastAsia" w:ascii="CESI仿宋-GB2312" w:hAnsi="CESI仿宋-GB2312" w:eastAsia="CESI仿宋-GB2312" w:cs="CESI仿宋-GB2312"/>
          <w:sz w:val="36"/>
          <w:szCs w:val="36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  <w:lang w:val="en-US" w:eastAsia="zh-CN"/>
        </w:rPr>
        <w:t>达州市投资有限公司</w:t>
      </w:r>
    </w:p>
    <w:p>
      <w:pPr>
        <w:spacing w:line="578" w:lineRule="exact"/>
        <w:jc w:val="center"/>
        <w:rPr>
          <w:rFonts w:hint="eastAsia" w:ascii="CESI仿宋-GB2312" w:hAnsi="CESI仿宋-GB2312" w:eastAsia="CESI仿宋-GB2312" w:cs="CESI仿宋-GB2312"/>
          <w:sz w:val="36"/>
          <w:szCs w:val="36"/>
          <w:lang w:eastAsia="zh-CN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  <w:lang w:eastAsia="zh-CN"/>
        </w:rPr>
        <w:t>万达开科技创新示范园白蚁防治采购项目</w:t>
      </w:r>
    </w:p>
    <w:p>
      <w:pPr>
        <w:spacing w:line="578" w:lineRule="exact"/>
        <w:jc w:val="center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</w:rPr>
        <w:t>竞争性谈判第</w:t>
      </w:r>
      <w:r>
        <w:rPr>
          <w:rFonts w:hint="eastAsia" w:ascii="CESI仿宋-GB2312" w:hAnsi="CESI仿宋-GB2312" w:eastAsia="CESI仿宋-GB2312" w:cs="CESI仿宋-GB2312"/>
          <w:sz w:val="36"/>
          <w:szCs w:val="36"/>
          <w:lang w:eastAsia="zh-CN"/>
        </w:rPr>
        <w:t>二</w:t>
      </w:r>
      <w:r>
        <w:rPr>
          <w:rFonts w:hint="eastAsia" w:ascii="CESI仿宋-GB2312" w:hAnsi="CESI仿宋-GB2312" w:eastAsia="CESI仿宋-GB2312" w:cs="CESI仿宋-GB2312"/>
          <w:sz w:val="36"/>
          <w:szCs w:val="36"/>
        </w:rPr>
        <w:t>轮报价表</w:t>
      </w:r>
    </w:p>
    <w:tbl>
      <w:tblPr>
        <w:tblStyle w:val="5"/>
        <w:tblW w:w="9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7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lang w:val="en-US" w:eastAsia="zh-CN"/>
              </w:rPr>
              <w:t>报价金额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lang w:val="en-US" w:eastAsia="zh-CN"/>
              </w:rPr>
              <w:t>万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6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840" w:hanging="840" w:hangingChars="300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注明：现场谈判后再举行第二轮报价，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第二轮报价不得高于第一轮报价，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第二轮报价为最终报价，该采购内容最高限价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14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万元，高于限价的作废标处理，两轮报价后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报价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最低者为成交供应商。</w:t>
      </w:r>
    </w:p>
    <w:p>
      <w:pPr>
        <w:pStyle w:val="3"/>
        <w:spacing w:line="360" w:lineRule="exact"/>
        <w:ind w:left="0" w:leftChars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pStyle w:val="3"/>
        <w:spacing w:line="360" w:lineRule="exact"/>
        <w:ind w:left="0" w:leftChars="0"/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pStyle w:val="3"/>
        <w:spacing w:line="360" w:lineRule="exact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            </w:t>
      </w: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参竞单位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（单位公章）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联系人：</w:t>
      </w: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pStyle w:val="3"/>
        <w:spacing w:line="360" w:lineRule="exact"/>
        <w:ind w:firstLine="3200" w:firstLineChars="10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pStyle w:val="3"/>
        <w:spacing w:line="360" w:lineRule="exact"/>
        <w:rPr>
          <w:rFonts w:hint="eastAsia" w:ascii="CESI仿宋-GB2312" w:hAnsi="CESI仿宋-GB2312" w:eastAsia="CESI仿宋-GB2312" w:cs="CESI仿宋-GB2312"/>
          <w:color w:val="000000"/>
          <w:kern w:val="0"/>
          <w:sz w:val="28"/>
          <w:szCs w:val="28"/>
          <w:lang w:bidi="ar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2098" w:right="1247" w:bottom="1418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                             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28"/>
          <w:szCs w:val="28"/>
          <w:lang w:bidi="ar"/>
        </w:rPr>
        <w:t xml:space="preserve"> 年  月   日</w:t>
      </w:r>
    </w:p>
    <w:p>
      <w:pPr>
        <w:spacing w:line="54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附件4：</w:t>
      </w:r>
    </w:p>
    <w:p>
      <w:pPr>
        <w:pStyle w:val="3"/>
        <w:ind w:left="0" w:leftChars="0"/>
        <w:jc w:val="center"/>
        <w:rPr>
          <w:rFonts w:hint="eastAsia" w:ascii="CESI仿宋-GB2312" w:hAnsi="CESI仿宋-GB2312" w:eastAsia="CESI仿宋-GB2312" w:cs="CESI仿宋-GB2312"/>
          <w:sz w:val="36"/>
          <w:szCs w:val="36"/>
        </w:rPr>
      </w:pPr>
      <w:r>
        <w:rPr>
          <w:rFonts w:hint="eastAsia" w:ascii="CESI仿宋-GB2312" w:hAnsi="CESI仿宋-GB2312" w:eastAsia="CESI仿宋-GB2312" w:cs="CESI仿宋-GB2312"/>
          <w:sz w:val="36"/>
          <w:szCs w:val="36"/>
        </w:rPr>
        <w:t>资格承诺函</w:t>
      </w:r>
    </w:p>
    <w:p>
      <w:pPr>
        <w:pStyle w:val="3"/>
        <w:ind w:left="0" w:leftChars="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3"/>
        <w:ind w:left="0" w:leftChars="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达州市投资有限公司（采购人）：</w:t>
      </w:r>
    </w:p>
    <w:p>
      <w:pPr>
        <w:pStyle w:val="3"/>
        <w:ind w:left="0" w:leftChars="0" w:firstLine="640" w:firstLineChars="200"/>
        <w:jc w:val="left"/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我单位参加贵公司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（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项目名称）的竞争性谈判，已充分了解项目采购内容，并作以下承诺：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我公司满足本项目资格条件：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1、具有独立承担民事责任的能力； 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2、具有良好的商业信誉；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3、具有履行合同所必须的设备和专业技术能力；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4、具有依法缴纳税收和社会保障资金的良好记录；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5、参加本次政府采购活动前三年内，在经营活动中没有重大违法记录；</w:t>
      </w:r>
    </w:p>
    <w:p>
      <w:pPr>
        <w:autoSpaceDE w:val="0"/>
        <w:spacing w:line="578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6、法律、行政法规规定的其他条件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pStyle w:val="3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3"/>
        <w:jc w:val="right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参竞单位：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（盖章）</w:t>
      </w:r>
    </w:p>
    <w:p>
      <w:pPr>
        <w:pStyle w:val="3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                                 </w:t>
      </w:r>
      <w:r>
        <w:rPr>
          <w:rFonts w:hint="eastAsia" w:ascii="CESI仿宋-GB2312" w:hAnsi="CESI仿宋-GB2312" w:eastAsia="CESI仿宋-GB2312" w:cs="CESI仿宋-GB2312"/>
          <w:kern w:val="0"/>
          <w:sz w:val="28"/>
          <w:szCs w:val="28"/>
          <w:lang w:bidi="ar"/>
        </w:rPr>
        <w:t>年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3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2286"/>
    <w:multiLevelType w:val="singleLevel"/>
    <w:tmpl w:val="FFFF22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D9B14"/>
    <w:rsid w:val="37ABB2BD"/>
    <w:rsid w:val="37AF4DFB"/>
    <w:rsid w:val="4FBFE2F8"/>
    <w:rsid w:val="5EFDFEEF"/>
    <w:rsid w:val="7BFFF634"/>
    <w:rsid w:val="7E7D2600"/>
    <w:rsid w:val="7FA172ED"/>
    <w:rsid w:val="7FD8BE10"/>
    <w:rsid w:val="7FFD9299"/>
    <w:rsid w:val="9FFF04C1"/>
    <w:rsid w:val="DE579BE5"/>
    <w:rsid w:val="F76F4F63"/>
    <w:rsid w:val="FBFF8192"/>
    <w:rsid w:val="FD3D2EDB"/>
    <w:rsid w:val="FDDFED5B"/>
    <w:rsid w:val="FFDA1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35"/>
    </w:p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2023-09-23T10:32:52Z</dcterms:created>
  <dc:creator>TZGS30</dc:creator>
  <cp:lastModifiedBy>TZGS13</cp:lastModifiedBy>
  <cp:lastPrinted>2024-05-28T23:34:15Z</cp:lastPrinted>
  <dcterms:modified xsi:type="dcterms:W3CDTF">2024-05-28T17:16:53Z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0F1558978BBFC4AB05A1556615387102</vt:lpwstr>
  </property>
</Properties>
</file>