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3.1.采购内容</w:t>
      </w:r>
    </w:p>
    <w:p>
      <w:pPr>
        <w:pStyle w:val="4"/>
        <w:jc w:val="left"/>
      </w:pPr>
      <w:r>
        <w:t>采购包1：</w:t>
      </w:r>
    </w:p>
    <w:p>
      <w:pPr>
        <w:pStyle w:val="4"/>
        <w:jc w:val="left"/>
      </w:pPr>
      <w:r>
        <w:t>采购包预算金额（元）: 1,110,000.00</w:t>
      </w:r>
    </w:p>
    <w:p>
      <w:pPr>
        <w:pStyle w:val="4"/>
        <w:jc w:val="left"/>
      </w:pPr>
      <w:r>
        <w:t>采购包最高限价（元）: 1,110,000.00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85"/>
        <w:gridCol w:w="804"/>
        <w:gridCol w:w="821"/>
        <w:gridCol w:w="1279"/>
        <w:gridCol w:w="785"/>
        <w:gridCol w:w="785"/>
        <w:gridCol w:w="785"/>
        <w:gridCol w:w="786"/>
        <w:gridCol w:w="620"/>
        <w:gridCol w:w="6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农作物病虫害防治服务</w:t>
            </w:r>
          </w:p>
        </w:tc>
        <w:tc>
          <w:tcPr>
            <w:tcW w:w="821" w:type="dxa"/>
          </w:tcPr>
          <w:p>
            <w:pPr>
              <w:pStyle w:val="4"/>
              <w:jc w:val="left"/>
            </w:pPr>
            <w:r>
              <w:t>2024年中央财政农业防灾减灾和水利救灾资金（第三批）冕宁县红火蚁根除防治项目</w:t>
            </w:r>
          </w:p>
        </w:tc>
        <w:tc>
          <w:tcPr>
            <w:tcW w:w="821" w:type="dxa"/>
          </w:tcPr>
          <w:p>
            <w:pPr>
              <w:pStyle w:val="4"/>
              <w:jc w:val="right"/>
            </w:pPr>
            <w:r>
              <w:t>1.00（项）</w:t>
            </w:r>
          </w:p>
        </w:tc>
        <w:tc>
          <w:tcPr>
            <w:tcW w:w="821" w:type="dxa"/>
          </w:tcPr>
          <w:p>
            <w:pPr>
              <w:pStyle w:val="4"/>
              <w:jc w:val="right"/>
            </w:pPr>
            <w:r>
              <w:t>1,110,000.00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jc w:val="left"/>
        <w:outlineLvl w:val="3"/>
      </w:pPr>
      <w:r>
        <w:rPr>
          <w:b/>
          <w:sz w:val="24"/>
        </w:rPr>
        <w:t>报价要求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279"/>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center"/>
            </w:pPr>
            <w:r>
              <w:t>序号</w:t>
            </w:r>
          </w:p>
        </w:tc>
        <w:tc>
          <w:tcPr>
            <w:tcW w:w="1466" w:type="dxa"/>
          </w:tcPr>
          <w:p>
            <w:pPr>
              <w:pStyle w:val="4"/>
              <w:jc w:val="center"/>
            </w:pPr>
            <w:r>
              <w:t>报价内容</w:t>
            </w:r>
          </w:p>
        </w:tc>
        <w:tc>
          <w:tcPr>
            <w:tcW w:w="977" w:type="dxa"/>
          </w:tcPr>
          <w:p>
            <w:pPr>
              <w:pStyle w:val="4"/>
              <w:jc w:val="center"/>
            </w:pPr>
            <w:r>
              <w:t>数量</w:t>
            </w:r>
          </w:p>
        </w:tc>
        <w:tc>
          <w:tcPr>
            <w:tcW w:w="1173" w:type="dxa"/>
          </w:tcPr>
          <w:p>
            <w:pPr>
              <w:pStyle w:val="4"/>
              <w:jc w:val="center"/>
            </w:pPr>
            <w:r>
              <w:t>单价</w:t>
            </w:r>
          </w:p>
        </w:tc>
        <w:tc>
          <w:tcPr>
            <w:tcW w:w="1173" w:type="dxa"/>
          </w:tcPr>
          <w:p>
            <w:pPr>
              <w:pStyle w:val="4"/>
              <w:jc w:val="center"/>
            </w:pPr>
            <w:r>
              <w:t>最高限价</w:t>
            </w:r>
          </w:p>
        </w:tc>
        <w:tc>
          <w:tcPr>
            <w:tcW w:w="977" w:type="dxa"/>
          </w:tcPr>
          <w:p>
            <w:pPr>
              <w:pStyle w:val="4"/>
              <w:jc w:val="center"/>
            </w:pPr>
            <w:r>
              <w:t>价款形式</w:t>
            </w:r>
          </w:p>
        </w:tc>
        <w:tc>
          <w:tcPr>
            <w:tcW w:w="1661" w:type="dxa"/>
          </w:tcPr>
          <w:p>
            <w:pPr>
              <w:pStyle w:val="4"/>
              <w:jc w:val="cente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2024年中央财政农业防灾减灾和水利救灾资金（第三批）冕宁县红火蚁根除防治项目</w:t>
            </w:r>
          </w:p>
        </w:tc>
        <w:tc>
          <w:tcPr>
            <w:tcW w:w="977" w:type="dxa"/>
          </w:tcPr>
          <w:p>
            <w:pPr>
              <w:pStyle w:val="4"/>
              <w:jc w:val="right"/>
            </w:pPr>
            <w:r>
              <w:t>1.00（项）</w:t>
            </w:r>
          </w:p>
        </w:tc>
        <w:tc>
          <w:tcPr>
            <w:tcW w:w="1173" w:type="dxa"/>
          </w:tcPr>
          <w:p>
            <w:pPr>
              <w:pStyle w:val="4"/>
              <w:jc w:val="right"/>
            </w:pPr>
            <w:r>
              <w:t>1,110,000（元）</w:t>
            </w:r>
          </w:p>
        </w:tc>
        <w:tc>
          <w:tcPr>
            <w:tcW w:w="1173" w:type="dxa"/>
          </w:tcPr>
          <w:p>
            <w:pPr>
              <w:pStyle w:val="4"/>
              <w:jc w:val="right"/>
            </w:pPr>
            <w:r>
              <w:t>1,110,000.00</w:t>
            </w:r>
          </w:p>
        </w:tc>
        <w:tc>
          <w:tcPr>
            <w:tcW w:w="977" w:type="dxa"/>
          </w:tcPr>
          <w:p>
            <w:pPr>
              <w:pStyle w:val="4"/>
              <w:jc w:val="left"/>
            </w:pPr>
            <w:r>
              <w:t>总价</w:t>
            </w:r>
          </w:p>
        </w:tc>
        <w:tc>
          <w:tcPr>
            <w:tcW w:w="1661" w:type="dxa"/>
          </w:tcPr>
          <w:p>
            <w:pPr>
              <w:pStyle w:val="4"/>
              <w:jc w:val="left"/>
            </w:pPr>
            <w:r>
              <w:t>无</w:t>
            </w:r>
          </w:p>
        </w:tc>
      </w:tr>
    </w:tbl>
    <w:p>
      <w:pPr>
        <w:pStyle w:val="4"/>
        <w:ind w:firstLine="480"/>
        <w:jc w:val="left"/>
      </w:pPr>
      <w:r>
        <w:t>★注：本采购包涉及采购货物的，供应商响应产品应当明确品牌和规格型号并指向唯一产品，不能指向唯一产品的，应通过报价表唯一产品说明栏补充说明。</w:t>
      </w:r>
    </w:p>
    <w:p>
      <w:pPr>
        <w:pStyle w:val="4"/>
        <w:jc w:val="left"/>
        <w:outlineLvl w:val="3"/>
      </w:pPr>
      <w:r>
        <w:rPr>
          <w:b/>
          <w:sz w:val="24"/>
        </w:rPr>
        <w:t>本项目涉及核心产品：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注：涉及核心产品的，具体评审规定见第五章。</w:t>
      </w:r>
    </w:p>
    <w:p>
      <w:pPr>
        <w:pStyle w:val="4"/>
        <w:jc w:val="left"/>
        <w:outlineLvl w:val="3"/>
      </w:pPr>
      <w:r>
        <w:rPr>
          <w:b/>
          <w:sz w:val="24"/>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jc w:val="left"/>
        <w:outlineLvl w:val="3"/>
      </w:pPr>
      <w:r>
        <w:rPr>
          <w:b/>
          <w:sz w:val="24"/>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outlineLvl w:val="3"/>
      </w:pPr>
      <w:r>
        <w:rPr>
          <w:b/>
          <w:sz w:val="24"/>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3.2.技术要求</w:t>
      </w:r>
    </w:p>
    <w:p>
      <w:pPr>
        <w:pStyle w:val="4"/>
        <w:jc w:val="left"/>
      </w:pPr>
      <w:r>
        <w:t>采购包1：</w:t>
      </w:r>
    </w:p>
    <w:p>
      <w:pPr>
        <w:pStyle w:val="4"/>
        <w:jc w:val="left"/>
      </w:pPr>
      <w:r>
        <w:t>标的名称：2024年中央财政农业防灾减灾和水利救灾资金（第三批）冕宁县红火蚁根除防治项目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246"/>
        <w:gridCol w:w="2492"/>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1246" w:type="dxa"/>
          </w:tcPr>
          <w:p>
            <w:pPr>
              <w:pStyle w:val="4"/>
              <w:jc w:val="center"/>
            </w:pPr>
            <w:r>
              <w:t>符号标识</w:t>
            </w:r>
          </w:p>
        </w:tc>
        <w:tc>
          <w:tcPr>
            <w:tcW w:w="2492" w:type="dxa"/>
          </w:tcPr>
          <w:p>
            <w:pPr>
              <w:pStyle w:val="4"/>
              <w:jc w:val="center"/>
            </w:pPr>
            <w:r>
              <w:t>技术要求名称</w:t>
            </w:r>
          </w:p>
        </w:tc>
        <w:tc>
          <w:tcPr>
            <w:tcW w:w="3738" w:type="dxa"/>
          </w:tcPr>
          <w:p>
            <w:pPr>
              <w:pStyle w:val="4"/>
              <w:jc w:val="center"/>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t>1</w:t>
            </w:r>
          </w:p>
        </w:tc>
        <w:tc>
          <w:tcPr>
            <w:tcW w:w="1246" w:type="dxa"/>
          </w:tcPr>
          <w:p/>
        </w:tc>
        <w:tc>
          <w:tcPr>
            <w:tcW w:w="2492" w:type="dxa"/>
          </w:tcPr>
          <w:p/>
        </w:tc>
        <w:tc>
          <w:tcPr>
            <w:tcW w:w="3738" w:type="dxa"/>
          </w:tcPr>
          <w:p>
            <w:pPr>
              <w:pStyle w:val="4"/>
              <w:jc w:val="left"/>
            </w:pPr>
            <w:r>
              <w:rPr>
                <w:rFonts w:ascii="仿宋" w:hAnsi="仿宋" w:eastAsia="仿宋" w:cs="仿宋"/>
                <w:sz w:val="24"/>
              </w:rPr>
              <w:t>（一）项目背景：红火蚁是世界100种最具危险性的外来有害生物之一，也是我国重要的检疫性害虫。冕宁县自2021年9月在漫水湾镇发现红火蚁疫情以来，经过连续三年专业化防控与群防群治相结合，延缓了红火蚁蔓延为害，总体发生面积在2000亩以下，为害程度控制在1级及以下，被四川省确定为红火蚁零星疫情根除防治区。</w:t>
            </w:r>
          </w:p>
          <w:p>
            <w:pPr>
              <w:pStyle w:val="4"/>
              <w:jc w:val="left"/>
            </w:pPr>
            <w:r>
              <w:rPr>
                <w:rFonts w:ascii="仿宋" w:hAnsi="仿宋" w:eastAsia="仿宋" w:cs="仿宋"/>
                <w:sz w:val="24"/>
              </w:rPr>
              <w:t>（二）目标任务：在红火蚁疫情发生的漫水湾镇，至少完成红火蚁根除防治7200亩次，有效遏制红火蚁扩散蔓延，农作物不能因为红火蚁为害出现规模化成灾绝收，通过反复监测防控，逐步实现红火蚁疫情动态清零的目标，服务群众满意度≥85%以上。</w:t>
            </w:r>
          </w:p>
          <w:p>
            <w:pPr>
              <w:pStyle w:val="4"/>
              <w:jc w:val="left"/>
            </w:pPr>
            <w:r>
              <w:rPr>
                <w:rFonts w:ascii="仿宋" w:hAnsi="仿宋" w:eastAsia="仿宋" w:cs="仿宋"/>
                <w:sz w:val="24"/>
              </w:rPr>
              <w:t>（三）项目建设内容及要求：通过政府购买专业化防控服务，按照《红火蚁专业化防控实施规程》（NY/T3541-2020）《四川省红火蚁监测防控技术方案》（川植应指办〔2023〕10号）的技术要求，应用智能化监测系统，完成划定区域面积的红火蚁疫情根除防治。</w:t>
            </w:r>
          </w:p>
          <w:p>
            <w:pPr>
              <w:pStyle w:val="4"/>
              <w:jc w:val="left"/>
            </w:pPr>
            <w:r>
              <w:rPr>
                <w:rFonts w:ascii="仿宋" w:hAnsi="仿宋" w:eastAsia="仿宋" w:cs="仿宋"/>
                <w:sz w:val="24"/>
              </w:rPr>
              <w:t>1、实施地点、面积：截止2024年4月查清的红火蚁发生区域漫水湾镇，面积1440.36亩作为红火蚁根除防治核心区；以黄土坡村、西河社区、新丰村、农丰村、胜利村、曙光村、玉马山村等疫点为重点，向外扩展500米，设置高风险监测防控区，面积约2044亩（核心区域需多次防治，不少于7200亩次）。</w:t>
            </w:r>
          </w:p>
          <w:p>
            <w:pPr>
              <w:pStyle w:val="4"/>
              <w:jc w:val="left"/>
            </w:pPr>
            <w:r>
              <w:rPr>
                <w:rFonts w:ascii="仿宋" w:hAnsi="仿宋" w:eastAsia="仿宋" w:cs="仿宋"/>
                <w:sz w:val="24"/>
              </w:rPr>
              <w:t>2、实施内容：</w:t>
            </w:r>
          </w:p>
          <w:p>
            <w:pPr>
              <w:pStyle w:val="4"/>
              <w:jc w:val="left"/>
            </w:pPr>
            <w:r>
              <w:rPr>
                <w:rFonts w:ascii="仿宋" w:hAnsi="仿宋" w:eastAsia="仿宋" w:cs="仿宋"/>
                <w:sz w:val="24"/>
              </w:rPr>
              <w:t>（1）专业队伍应用红火蚁监测防控数字化系统，对我县红火蚁根除防治核心区，开展5次以上全程防控，面积不少于7200亩次；高风险区开展2次以上全程防控，面积不少于4088亩次。通过反复监测、防控、防效评估、补充防治等步骤，达到根除红火蚁的目标，最终通过省州根除防治验收。</w:t>
            </w:r>
          </w:p>
          <w:p>
            <w:pPr>
              <w:pStyle w:val="4"/>
              <w:jc w:val="left"/>
            </w:pPr>
            <w:r>
              <w:rPr>
                <w:rFonts w:ascii="仿宋" w:hAnsi="仿宋" w:eastAsia="仿宋" w:cs="仿宋"/>
                <w:sz w:val="24"/>
              </w:rPr>
              <w:t>（2）整个项目实施期内，专业队伍须在我县聘请不少于9名红火蚁农民监测员，帮助我县建立农民监测员“一兵五员”制度（零星疫情的监测员、防控员、宣传员、向导员、组织员），通过技术培训和防控操作，带出一支本地红火蚁专业化防治队伍，作为零星疫情防除的重要技术力量。</w:t>
            </w:r>
          </w:p>
          <w:p>
            <w:pPr>
              <w:pStyle w:val="4"/>
              <w:jc w:val="left"/>
            </w:pPr>
            <w:r>
              <w:rPr>
                <w:rFonts w:ascii="仿宋" w:hAnsi="仿宋" w:eastAsia="仿宋" w:cs="仿宋"/>
                <w:sz w:val="24"/>
              </w:rPr>
              <w:t>（3）为冕宁县提供不少于7吨的红火蚁防控药剂，作为当地新发疫情防控处置的物资保障。其中应急防控药剂1吨：以有效成分0.6%及以上的高效氯氰菊酯粉剂为主；防控饵剂6吨：以有效成分0.1%及以上的茚虫威和呋虫胺饵剂为主；所有药剂均必须为登记应用于红火蚁防治的合格产品。</w:t>
            </w:r>
          </w:p>
          <w:p>
            <w:pPr>
              <w:pStyle w:val="4"/>
              <w:jc w:val="left"/>
            </w:pPr>
            <w:r>
              <w:rPr>
                <w:rFonts w:ascii="仿宋" w:hAnsi="仿宋" w:eastAsia="仿宋" w:cs="仿宋"/>
                <w:sz w:val="24"/>
              </w:rPr>
              <w:t>3、宣传培训</w:t>
            </w:r>
          </w:p>
          <w:p>
            <w:pPr>
              <w:pStyle w:val="4"/>
              <w:jc w:val="left"/>
            </w:pPr>
            <w:r>
              <w:rPr>
                <w:rFonts w:ascii="仿宋" w:hAnsi="仿宋" w:eastAsia="仿宋" w:cs="仿宋"/>
                <w:sz w:val="24"/>
              </w:rPr>
              <w:t>在项目区完成一次红火蚁识别、危害、防护、被叮蛰后应急处理等相关知识技术培训。</w:t>
            </w:r>
          </w:p>
          <w:p>
            <w:pPr>
              <w:pStyle w:val="4"/>
              <w:jc w:val="left"/>
            </w:pPr>
            <w:r>
              <w:rPr>
                <w:rFonts w:ascii="仿宋" w:hAnsi="仿宋" w:eastAsia="仿宋" w:cs="仿宋"/>
                <w:sz w:val="24"/>
              </w:rPr>
              <w:t>4、技术路线</w:t>
            </w:r>
          </w:p>
          <w:p>
            <w:pPr>
              <w:pStyle w:val="4"/>
              <w:jc w:val="left"/>
            </w:pPr>
            <w:r>
              <w:rPr>
                <w:rFonts w:ascii="仿宋" w:hAnsi="仿宋" w:eastAsia="仿宋" w:cs="仿宋"/>
                <w:sz w:val="24"/>
              </w:rPr>
              <w:t>（1）按照《四川省红火蚁监测防控技术方案》，应用红火蚁监测防控数字系统，做好根除防治核心区疫情监测调查，分析疫情扩散危害趋势，做好高危区的监测，为根除防治提供基础数据；依靠监测普查数据，分片、分区因地、因天气施策，用饵剂法、粉剂法（颗粒剂法）或者两步法，分类进行反复多次防控扑杀，建议多种饵剂轮换使用，防止红火蚁产生抗药性。</w:t>
            </w:r>
          </w:p>
          <w:p>
            <w:pPr>
              <w:pStyle w:val="4"/>
              <w:jc w:val="left"/>
            </w:pPr>
            <w:r>
              <w:rPr>
                <w:rFonts w:ascii="仿宋" w:hAnsi="仿宋" w:eastAsia="仿宋" w:cs="仿宋"/>
                <w:sz w:val="24"/>
              </w:rPr>
              <w:t>（2）做好红火蚁识别、危害、防护、被叮蛰后应急处理等相关知识技术培训，督促指导本地农民监测员开展监测防控工作，做好零星疫情的防控，保障整体根除效果。</w:t>
            </w:r>
          </w:p>
          <w:p>
            <w:pPr>
              <w:pStyle w:val="4"/>
              <w:jc w:val="left"/>
            </w:pPr>
            <w:r>
              <w:rPr>
                <w:rFonts w:ascii="仿宋" w:hAnsi="仿宋" w:eastAsia="仿宋" w:cs="仿宋"/>
                <w:sz w:val="24"/>
              </w:rPr>
              <w:t>（3）协助做好检疫宣传和检疫处理。</w:t>
            </w:r>
          </w:p>
          <w:p>
            <w:pPr>
              <w:pStyle w:val="4"/>
              <w:jc w:val="left"/>
            </w:pPr>
            <w:r>
              <w:rPr>
                <w:rFonts w:ascii="仿宋" w:hAnsi="仿宋" w:eastAsia="仿宋" w:cs="仿宋"/>
                <w:sz w:val="24"/>
              </w:rPr>
              <w:t>（4）做好作业日志记录，记录统一施药时间、人员数量、扑杀场景图片、面积、蚁巢数和药剂补施等情况。在每次施药后1-4周检查防效，循环开展防控扑杀、追踪监测、防效调查、药剂补施等环节；形成并提交红火蚁分布、防控图件及报告。当红火蚁防控效果达到100%后，提出初步验收申请；初步验收后，连续做好10个月至少10次监测（特别是在红火蚁发生的关键时期），当防效保持在100%，依据《红火蚁专业化防控实施规程》（NY/T3541-2020）技术要求，做好根除防治验收。</w:t>
            </w:r>
          </w:p>
          <w:p>
            <w:pPr>
              <w:pStyle w:val="4"/>
              <w:jc w:val="left"/>
            </w:pPr>
            <w:r>
              <w:t>（注:若国家、省、市对执行标准内容有新要求的，则按最新要求执行）</w:t>
            </w:r>
          </w:p>
        </w:tc>
      </w:tr>
    </w:tbl>
    <w:p>
      <w:pPr>
        <w:pStyle w:val="4"/>
        <w:jc w:val="left"/>
        <w:outlineLvl w:val="2"/>
      </w:pPr>
      <w:r>
        <w:rPr>
          <w:b/>
          <w:sz w:val="28"/>
        </w:rPr>
        <w:t>3.3.服务要求</w:t>
      </w:r>
    </w:p>
    <w:p>
      <w:pPr>
        <w:pStyle w:val="4"/>
        <w:jc w:val="left"/>
        <w:outlineLvl w:val="3"/>
      </w:pPr>
      <w:r>
        <w:rPr>
          <w:b/>
          <w:sz w:val="24"/>
        </w:rPr>
        <w:t>3.3.1服务内容要求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8"/>
        <w:gridCol w:w="2049"/>
        <w:gridCol w:w="2049"/>
        <w:gridCol w:w="2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服务要求名称</w:t>
            </w:r>
          </w:p>
        </w:tc>
        <w:tc>
          <w:tcPr>
            <w:tcW w:w="2076" w:type="dxa"/>
          </w:tcPr>
          <w:p>
            <w:pPr>
              <w:pStyle w:val="4"/>
              <w:jc w:val="left"/>
            </w:pPr>
            <w: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ind w:firstLine="480"/>
              <w:jc w:val="left"/>
            </w:pPr>
            <w:r>
              <w:rPr>
                <w:rFonts w:ascii="仿宋" w:hAnsi="仿宋" w:eastAsia="仿宋" w:cs="仿宋"/>
                <w:sz w:val="24"/>
              </w:rPr>
              <w:t>项目根除期限为：2024年10月-2025年11月，初步根除，验收之后连续监测10个月（至2026年9月）。</w:t>
            </w:r>
          </w:p>
          <w:p>
            <w:pPr>
              <w:pStyle w:val="4"/>
              <w:ind w:firstLine="480"/>
              <w:jc w:val="left"/>
            </w:pPr>
            <w:r>
              <w:rPr>
                <w:rFonts w:ascii="仿宋" w:hAnsi="仿宋" w:eastAsia="仿宋" w:cs="仿宋"/>
                <w:sz w:val="24"/>
              </w:rPr>
              <w:t>（一）第一阶段（2024年10月-2024年12月），遏制红火蚁扩散；</w:t>
            </w:r>
          </w:p>
          <w:p>
            <w:pPr>
              <w:pStyle w:val="4"/>
              <w:ind w:firstLine="480"/>
              <w:jc w:val="left"/>
            </w:pPr>
            <w:r>
              <w:rPr>
                <w:rFonts w:ascii="仿宋" w:hAnsi="仿宋" w:eastAsia="仿宋" w:cs="仿宋"/>
                <w:sz w:val="24"/>
              </w:rPr>
              <w:t>通过收集资料和实地调查，确定监测、防控的重点、难点和实施的区域顺序，开展并完成核心区（发生点位）1次全面防控工作、高风险区（重点监测区）1次全面防控工作，及时跟踪监测和评估防控效果，遏制红火蚁扩散。</w:t>
            </w:r>
          </w:p>
          <w:p>
            <w:pPr>
              <w:pStyle w:val="4"/>
              <w:ind w:firstLine="480"/>
              <w:jc w:val="left"/>
            </w:pPr>
            <w:r>
              <w:rPr>
                <w:rFonts w:ascii="仿宋" w:hAnsi="仿宋" w:eastAsia="仿宋" w:cs="仿宋"/>
                <w:sz w:val="24"/>
              </w:rPr>
              <w:t>（二）第二阶段（2025年1月—2025年11月），初步根除；</w:t>
            </w:r>
          </w:p>
          <w:p>
            <w:pPr>
              <w:pStyle w:val="4"/>
              <w:ind w:firstLine="480"/>
              <w:jc w:val="left"/>
            </w:pPr>
            <w:r>
              <w:rPr>
                <w:rFonts w:ascii="仿宋" w:hAnsi="仿宋" w:eastAsia="仿宋" w:cs="仿宋"/>
                <w:sz w:val="24"/>
              </w:rPr>
              <w:t>继续开展监测，根据监测情况，结合实际发生，开展并完成核心区（发生点位）4次防控工作、高风险区（重点监测区）1次防控工作，人工重点查漏补缺和全面监测调查，防控效果达到100%后，以书面形式提交初步根除阶段工作总结报告，进行初步根除阶段验收。</w:t>
            </w:r>
          </w:p>
          <w:p>
            <w:pPr>
              <w:pStyle w:val="4"/>
              <w:ind w:firstLine="480"/>
              <w:jc w:val="left"/>
            </w:pPr>
            <w:r>
              <w:rPr>
                <w:rFonts w:ascii="仿宋" w:hAnsi="仿宋" w:eastAsia="仿宋" w:cs="仿宋"/>
                <w:sz w:val="24"/>
              </w:rPr>
              <w:t>（三）第三阶段（2025年12月—2026年9月），根除效果评估。</w:t>
            </w:r>
          </w:p>
          <w:p>
            <w:pPr>
              <w:pStyle w:val="4"/>
              <w:ind w:firstLine="480"/>
              <w:jc w:val="left"/>
            </w:pPr>
            <w:r>
              <w:rPr>
                <w:rFonts w:ascii="仿宋" w:hAnsi="仿宋" w:eastAsia="仿宋" w:cs="仿宋"/>
                <w:sz w:val="24"/>
              </w:rPr>
              <w:t>根除区（含重点监测区）连续10个月10次以上（每个月至少一次）全面监测调查，未发现红火蚁活蚁及活蚁巢的，达到根除效果，按照《红火蚁专业化防控实施规程》（NY/T3541—2020）和四川省重大植物疫情应急指挥部办公室〈关于印发四川省红火蚁监测防控技术方案的通知〉（川植应指办〔2023〕10号）等相关文件技术要求，整理汇总监测及补充防治工作报告，到期后进行根除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报价要求</w:t>
            </w:r>
          </w:p>
        </w:tc>
        <w:tc>
          <w:tcPr>
            <w:tcW w:w="2076" w:type="dxa"/>
          </w:tcPr>
          <w:p>
            <w:pPr>
              <w:pStyle w:val="4"/>
              <w:jc w:val="both"/>
            </w:pPr>
            <w:r>
              <w:rPr>
                <w:rFonts w:ascii="仿宋" w:hAnsi="仿宋" w:eastAsia="仿宋" w:cs="仿宋"/>
                <w:sz w:val="24"/>
              </w:rPr>
              <w:t>本项目磋商报价是履行合同的最终价格，应包括供应商完成本项目所需的一切费用，采购人不再支付任何费用；磋商报价估算错误等引起的风险由供应商自行承担。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保密要求</w:t>
            </w:r>
          </w:p>
        </w:tc>
        <w:tc>
          <w:tcPr>
            <w:tcW w:w="2076" w:type="dxa"/>
          </w:tcPr>
          <w:p>
            <w:pPr>
              <w:pStyle w:val="4"/>
              <w:jc w:val="both"/>
            </w:pPr>
            <w:r>
              <w:rPr>
                <w:rFonts w:ascii="宋体" w:hAnsi="宋体" w:eastAsia="宋体" w:cs="宋体"/>
                <w:sz w:val="21"/>
              </w:rPr>
              <w:t>本项目工作数据属于保密数据，成交供应商在保密期内必须严格按照国家保密工作规程操作执行。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安全要求</w:t>
            </w:r>
          </w:p>
        </w:tc>
        <w:tc>
          <w:tcPr>
            <w:tcW w:w="2076" w:type="dxa"/>
          </w:tcPr>
          <w:p>
            <w:pPr>
              <w:pStyle w:val="4"/>
              <w:jc w:val="both"/>
            </w:pPr>
            <w:r>
              <w:rPr>
                <w:rFonts w:ascii="宋体" w:hAnsi="宋体" w:eastAsia="宋体" w:cs="宋体"/>
                <w:sz w:val="21"/>
              </w:rPr>
              <w:t>本项目自成交方签订合同之日起至提交全部成果验收合格之日止，成交方将负责该项目实施过程中的人身安全、财产安全、环境安全，因本项目实施过程中造成的直接或间接损失，其相应责任由成交供应商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后续服务要求</w:t>
            </w:r>
          </w:p>
        </w:tc>
        <w:tc>
          <w:tcPr>
            <w:tcW w:w="2076" w:type="dxa"/>
          </w:tcPr>
          <w:p>
            <w:pPr>
              <w:pStyle w:val="4"/>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）在提交成果后成交供应商应就本项目为采购人提供咨询等服务； （</w:t>
            </w:r>
            <w:r>
              <w:rPr>
                <w:rFonts w:ascii="Calibri" w:hAnsi="Calibri" w:eastAsia="Calibri" w:cs="Calibri"/>
                <w:sz w:val="21"/>
              </w:rPr>
              <w:t>2</w:t>
            </w:r>
            <w:r>
              <w:rPr>
                <w:rFonts w:ascii="宋体" w:hAnsi="宋体" w:eastAsia="宋体" w:cs="宋体"/>
                <w:sz w:val="21"/>
              </w:rPr>
              <w:t>）服务期限内出现问题，成交供应商必须即时响应，并在采购人要求合理时限内到达现场，并在采购人要求的合理时限内解决问题，现场解决不了的采取补救措施，以保证采购人的正常工作需求，成交供应商不得以任何理由影响正常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其他要求</w:t>
            </w:r>
          </w:p>
        </w:tc>
        <w:tc>
          <w:tcPr>
            <w:tcW w:w="2076" w:type="dxa"/>
          </w:tcPr>
          <w:p>
            <w:pPr>
              <w:pStyle w:val="4"/>
              <w:jc w:val="both"/>
            </w:pPr>
            <w:r>
              <w:rPr>
                <w:rFonts w:ascii="宋体" w:hAnsi="宋体" w:eastAsia="宋体" w:cs="宋体"/>
                <w:sz w:val="21"/>
              </w:rPr>
              <w:t>成交供应商在合约期间内，如未按照采购人规定的时间与采购文件规定的要求完成本项目几个阶段的服务内容，将被纳入冕宁县农业防治项目的黑名单供应商并上报省州</w:t>
            </w:r>
          </w:p>
        </w:tc>
      </w:tr>
    </w:tbl>
    <w:p>
      <w:pPr>
        <w:pStyle w:val="4"/>
        <w:jc w:val="left"/>
        <w:outlineLvl w:val="3"/>
      </w:pPr>
      <w:r>
        <w:rPr>
          <w:b/>
          <w:sz w:val="24"/>
        </w:rPr>
        <w:t>3.3.2.商务要求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项目根除期限为：2024年10月-2025年11月，初步根除，验收之后连续监测10个月（至2026年9月）。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成交供应商全面完成红火蚁根除防治任务，当防控效果达到100%时，整理好防控资料，撰写并提交红火蚁防控总结报告（要求包含相关的图片、防控流程及办法）和验收申请，开展阶段验收；延续监测10个月，没有红火蚁活蚁巢及活蚁，进行根除验收。（详见3.3.1服务内容要求中服务期限）验收由采购方组织，按照《财政部关于进一步加强政府采购需求和履约验收管理的指导意见》（财库〔2016〕205 号）的要求进行。采购方组织专家按照《红火蚁专业化防控实施规程》（NY/T3541-2020）和四川省重大植物疫情应急指挥部办公室〈关于印发四川省红火蚁监测防控技术方案的通知〉（川植应指办〔2023〕10号）等相关文件技术要求，对红火蚁防控效果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付款进度安排</w:t>
            </w:r>
          </w:p>
        </w:tc>
        <w:tc>
          <w:tcPr>
            <w:tcW w:w="2076" w:type="dxa"/>
          </w:tcPr>
          <w:p>
            <w:pPr>
              <w:pStyle w:val="4"/>
              <w:jc w:val="left"/>
            </w:pPr>
            <w:r>
              <w:t>1、签订合同之日起，达到付款条件起30日内，支付合同总金额的30.00%</w:t>
            </w:r>
          </w:p>
          <w:p>
            <w:pPr>
              <w:pStyle w:val="4"/>
              <w:jc w:val="left"/>
            </w:pPr>
            <w:r>
              <w:t>2、2024年10月-2025年11月，完成根除，阶段验收合格后，达到付款条件起30日内，支付合同总金额的70.00%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如因成交供应商工作人员在履行职务过程中的的疏忽、失职、过错等故 意或者过失原因给采购人造成损失或侵害，包括但不限于采购人本身的财产损失、 由此而导致的采购人对任何第三方的法律责任等，成交供应商对此均应承担全部的赔偿责任</w:t>
            </w:r>
          </w:p>
        </w:tc>
      </w:tr>
    </w:tbl>
    <w:p>
      <w:pPr>
        <w:pStyle w:val="4"/>
        <w:jc w:val="left"/>
        <w:outlineLvl w:val="2"/>
      </w:pPr>
      <w:r>
        <w:rPr>
          <w:b/>
          <w:sz w:val="28"/>
        </w:rPr>
        <w:t>3.4.其他要求</w:t>
      </w:r>
    </w:p>
    <w:p>
      <w:pPr>
        <w:pStyle w:val="4"/>
        <w:ind w:firstLine="480"/>
        <w:jc w:val="left"/>
      </w:pPr>
      <w:r>
        <w:t>采购包1：</w:t>
      </w:r>
    </w:p>
    <w:p>
      <w:r>
        <w:t>评审因素： （1）供应商根据本项目服务内容及要求编制项目实施方案①项目现状及重难点分析；②项目进度管理；③组织机构及人员配备；④防控工作方案；⑤技术保障措施；⑥安全保障及应急预案；（2）供应商根据本项目服务内容及要求编制售后服务方案①后续服务机制；②后续服务保障措施；③后续服务承诺；④服务人员及其他的响应方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4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2024-09-25T01:59:15Z</dcterms:created>
  <dc:creator>Administrator</dc:creator>
  <cp:lastModifiedBy>Administrator</cp:lastModifiedBy>
  <dcterms:modified xsi:type="dcterms:W3CDTF">2024-09-25T01:59:32Z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8A3838325CAA490EB261E4C1DB54D232</vt:lpwstr>
  </property>
</Properties>
</file>